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OF AMERICA</w:t>
      </w:r>
    </w:p>
    <w:p>
      <w:pPr>
        <w:spacing w:after="0" w:line="37"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43"/>
          <w:szCs w:val="43"/>
          <w:b w:val="1"/>
          <w:bCs w:val="1"/>
          <w:color w:val="auto"/>
        </w:rPr>
        <w:t>Vistance Networks,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902"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b w:val="1"/>
          <w:bCs w:val="1"/>
          <w:color w:val="auto"/>
        </w:rPr>
        <w:t>001-36146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27-4332098</w:t>
      </w:r>
    </w:p>
    <w:p>
      <w:pPr>
        <w:spacing w:after="0" w:line="12" w:lineRule="exact"/>
        <w:rPr>
          <w:sz w:val="24"/>
          <w:szCs w:val="24"/>
          <w:color w:val="auto"/>
        </w:rPr>
      </w:pPr>
    </w:p>
    <w:p>
      <w:pPr>
        <w:sectPr>
          <w:pgSz w:w="11900" w:h="16838" w:orient="portrait"/>
          <w:cols w:equalWidth="0" w:num="3">
            <w:col w:w="4300" w:space="720"/>
            <w:col w:w="2700" w:space="720"/>
            <w:col w:w="2300"/>
          </w:cols>
          <w:pgMar w:left="320" w:top="902" w:right="839" w:bottom="1440" w:gutter="0" w:footer="0" w:header="0"/>
          <w:type w:val="continuous"/>
        </w:sect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Commission File</w:t>
      </w:r>
    </w:p>
    <w:p>
      <w:pPr>
        <w:spacing w:after="0" w:line="5"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23" w:lineRule="exact"/>
        <w:rPr>
          <w:sz w:val="24"/>
          <w:szCs w:val="24"/>
          <w:color w:val="auto"/>
        </w:rPr>
      </w:pPr>
    </w:p>
    <w:p>
      <w:pPr>
        <w:sectPr>
          <w:pgSz w:w="11900" w:h="16838" w:orient="portrait"/>
          <w:cols w:equalWidth="0" w:num="3">
            <w:col w:w="4160" w:space="720"/>
            <w:col w:w="2720" w:space="720"/>
            <w:col w:w="2420"/>
          </w:cols>
          <w:pgMar w:left="320" w:top="902" w:right="839" w:bottom="1440" w:gutter="0" w:footer="0" w:header="0"/>
          <w:type w:val="continuous"/>
        </w:sectPr>
      </w:pP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2601 Telecom Parkway</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Richardson, TX 75082, United States</w:t>
      </w:r>
    </w:p>
    <w:p>
      <w:pPr>
        <w:spacing w:after="0" w:line="200" w:lineRule="exact"/>
        <w:rPr>
          <w:sz w:val="24"/>
          <w:szCs w:val="24"/>
          <w:color w:val="auto"/>
        </w:rPr>
      </w:pPr>
    </w:p>
    <w:p>
      <w:pPr>
        <w:spacing w:after="0" w:line="36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w:t>
      </w:r>
    </w:p>
    <w:p>
      <w:pPr>
        <w:spacing w:after="0" w:line="23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Kyle Lorentzen</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2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972-952-9700</w:t>
      </w:r>
    </w:p>
    <w:p>
      <w:pPr>
        <w:sectPr>
          <w:pgSz w:w="11900" w:h="16838" w:orient="portrait"/>
          <w:cols w:equalWidth="0" w:num="1">
            <w:col w:w="10740"/>
          </w:cols>
          <w:pgMar w:left="320" w:top="902" w:right="839" w:bottom="1440" w:gutter="0" w:footer="0" w:header="0"/>
          <w:type w:val="continuous"/>
        </w:sectPr>
      </w:pP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40" w:hanging="432"/>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1093470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902"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accordance with Rule 13p-1 under the Securities Exchange Act of 1934 (“Rule 13p-1”), Vistance Networks, Inc. has filed this Specialized Disclosure Report (“Form SD”) and Conflict Minerals Report for the calendar year ended December 31, 2025. Both reports are publicly available at https://webresources.vistancenetworks.com/download/assets/2024+Form+SD+and+Conflict+Minerals+Report/8eb217b0f75d11f0b2beee27a73045ce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our Conflict Minerals Report for the year ended December 31, 2025 is filed as Exhibit 1.01 hereto.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549" w:right="599" w:bottom="1440" w:gutter="0" w:footer="0" w:header="0"/>
        </w:sectPr>
      </w:pPr>
    </w:p>
    <w:bookmarkStart w:id="2" w:name="page3"/>
    <w:bookmarkEnd w:id="2"/>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48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VISTANCE NETWORKS, INC.</w:t>
      </w:r>
    </w:p>
    <w:p>
      <w:pPr>
        <w:spacing w:after="0" w:line="156" w:lineRule="exact"/>
        <w:rPr>
          <w:sz w:val="20"/>
          <w:szCs w:val="20"/>
          <w:color w:val="auto"/>
        </w:rPr>
      </w:pPr>
    </w:p>
    <w:p>
      <w:pPr>
        <w:spacing w:after="0"/>
        <w:tabs>
          <w:tab w:leader="none" w:pos="640" w:val="left"/>
          <w:tab w:leader="none" w:pos="5140" w:val="left"/>
          <w:tab w:leader="none" w:pos="6260" w:val="left"/>
        </w:tabs>
        <w:rPr>
          <w:sz w:val="20"/>
          <w:szCs w:val="20"/>
          <w:color w:val="auto"/>
        </w:rPr>
      </w:pPr>
      <w:r>
        <w:rPr>
          <w:rFonts w:ascii="Times New Roman" w:cs="Times New Roman" w:eastAsia="Times New Roman" w:hAnsi="Times New Roman"/>
          <w:sz w:val="18"/>
          <w:szCs w:val="18"/>
          <w:color w:val="auto"/>
        </w:rPr>
        <w:t>Date:</w:t>
        <w:tab/>
        <w:t>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18415</wp:posOffset>
            </wp:positionV>
            <wp:extent cx="2717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Kyle D. Lorentzen</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549" w:right="117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98" w:lineRule="exact"/>
        <w:rPr>
          <w:sz w:val="20"/>
          <w:szCs w:val="20"/>
          <w:color w:val="auto"/>
        </w:rPr>
      </w:pPr>
    </w:p>
    <w:p>
      <w:pPr>
        <w:ind w:left="80"/>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34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Conflict Minerals Report for the Calendar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of Vistance Networks, Inc. (formerly known as CommScope Holding Company,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Calendar Year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13P-1 Under The Securities Exchange Act of 1934</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Vistance Networks, Inc. (formerly known as CommScope Holding Company, Inc.) presents this Conflict Minerals Report for the reporting period of January 1, 2025 to December 31, 2025 pursuant to Rule 13p-1 under the Securities Exchange Act of 1934 and associated guidance issued by the Securities and Exchange Commission. The Company changed its name from CommScope Holding Company, Inc. to Vistance Networks, Inc. effective January 14, 2026. Unless otherwise specified or unless the context otherwise requires, references to “the Company,” “we,” “us” or “our” refer to Vistance Networks, Inc. (formerly known as CommScope Holding Company, Inc.) and its consolidated subsidiaries.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Effective April 1, 2025, following the divestiture of the Distributed Antenna Systems (DAS) business unit on January 1, 2025, the Company renamed its Networking, Intelligent Cellular &amp; Security Solutions (NICS) segment to RUCKUS.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January 9, 2026, the Company finalized the sale of its Connectivity and Cable Solutions (CCS) segment to Amphenol Corporation. In connection with the divestiture of the CCS segment, and effective upon the closing of that transaction on January 9, 2026, the Company renamed its Access Network Solutions (ANS) segment to Aurora Networks (Aurora).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Conflict Minerals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leading global provider of infrastructure solutions for communication, data center and entertainment networks. In 2014, our leaders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a sustainability philosophy on corporate responsibility that embraces our core company values. In keeping with our values and supporting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efforts to respect people and our planet, we expect our suppliers to conduct their worldwide operations in a socially and environmentally responsible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and source raw materials only from reputable organizations pursuant to our Conflict Minerals Policy (the “Policy”) and following the Organisation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Economic Co-operation and Development (“OECD”) Due Diligence Guidance for Responsible Supply Chains of Minerals from Conflict-Affected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High-Risk Areas, third edition. The Policy is available on our website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https://webresources.vistancenetworks.com/download/assets/Responsible+Mineral+Sourcing+Policy/a373bfcaf76511f089076a092ffd85e3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Conflict minerals in the form of tin, tantalum, tungsten and gold were necessary to the functionality or production of products we manufactured or contracted to have manufactured during 2025 within our reportable segments (as reported in our Annual Report on Form 10-K for the year ended December 31, 2025) as follows:</w:t>
      </w:r>
    </w:p>
    <w:p>
      <w:pPr>
        <w:spacing w:after="0" w:line="68" w:lineRule="exact"/>
        <w:rPr>
          <w:sz w:val="20"/>
          <w:szCs w:val="20"/>
          <w:color w:val="auto"/>
        </w:rPr>
      </w:pPr>
    </w:p>
    <w:p>
      <w:pPr>
        <w:ind w:left="1020" w:right="60" w:hanging="503"/>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RUCKUS (formerly known as NICS) - Provides wireless networks for enterprises and service providers. Product offerings include indoor cellular solutions such as indoor and outdoor Wi-Fi and long-term evolution access points, access and aggregation switches; an Internet of Things suite, on-premises and cloud-based control and management systems; and software and software-as-a-service applications addressing security, location, reporting and analytics.</w:t>
      </w:r>
    </w:p>
    <w:p>
      <w:pPr>
        <w:spacing w:after="0" w:line="71"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Aurora (formerly known as ANS) - Includes cable modem termination systems, video infrastructure, public key infrastructure solutions, distribution and transmission equipment and cloud solutions that enable facility-based service providers to construct a state-of-the-art residential and metro distribution network.</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CCS segment provides fiber optic and copper connectivity and cable solutions for use in telecommunications, cable television, residential broadband networks, data centers and business enterprises. The CCS portfolio includes network solutions for indoor and outdoor network applications. Indoor network solutions include optical fiber and twisted pair structured cable solutions, intelligent infrastructure management hardware and software and network rack and cabinet enclosures. Outdoor network solutions are used in both local-area and wide-area networks and “last mile” fiber-to-the-home installations, including deployments of fiber-to-the-node, fiber-to-the-premises and fiber-to-the-distribution-point to homes, businesses and cell sites. This segment was reflected as a discontinued operation, retrospectively for all periods presented beginning in the fourth quarter of 2025, in our Annual Report on Form 10-K for the year ended December 31, 2025, and was sold in the first quarter of 2026 as discussed above. However, the CCS products are included in this report, since the Company manufactured or contracted to have these products manufactured in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 reasonable country of origin inquiry (“RCOI”) and due diligence on the source and chain of custody using the Responsible Minerals Initiative (“RMI”) Conflict Minerals Reporting Template (“CMRT”) to determine whether any of the necessary conflict minerals in our 2025 products originated in the Democratic Republic of the Congo (“DRC”) and the adjoining countries (the “Covered Countries”) or were conflict minerals from recycled or scrap sources. The term "conflict minerals" comes from section 1502 of the Dodd-Frank Wall Street Reform and Consumer Protection Act and the Conflict Minerals Rule, 17 CFR Parts 240 and 249b, and is defined as columbite-tantalite, also known as coltan (from which tantalum is derived); cassiterite (tin); gold; wolframite (tungsten); or their derivatives; or any other mineral or its derivatives determined by the U.S. Secretary of State to be financing conflict in the DRC or any of the Covered Countries. To make the RCOI determination, we engaged our suppliers to identify the smelters and refiners (“facilities”) of necessary conflict minerals that may have been contained in our products and reviewed available information on the sourcing of conflict minerals by facilities, including information about the facilities provided by RMI regarding processors of conflict minerals.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RCOI included:</w:t>
      </w:r>
    </w:p>
    <w:p>
      <w:pPr>
        <w:spacing w:after="0" w:line="63" w:lineRule="exact"/>
        <w:rPr>
          <w:sz w:val="20"/>
          <w:szCs w:val="20"/>
          <w:color w:val="auto"/>
        </w:rPr>
      </w:pPr>
    </w:p>
    <w:p>
      <w:pPr>
        <w:ind w:left="1020" w:right="140" w:hanging="503"/>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relevant in scope suppliers from our Enterprise Resource Planning software for inclusion in the RCOI Conflict Mineral survey. These suppliers provided materials, parts, components containing necessary conflict minerals.</w:t>
      </w:r>
    </w:p>
    <w:p>
      <w:pPr>
        <w:spacing w:after="0" w:line="1" w:lineRule="exact"/>
        <w:rPr>
          <w:rFonts w:ascii="Times New Roman" w:cs="Times New Roman" w:eastAsia="Times New Roman" w:hAnsi="Times New Roman"/>
          <w:sz w:val="18"/>
          <w:szCs w:val="18"/>
          <w:color w:val="auto"/>
        </w:rPr>
      </w:pPr>
    </w:p>
    <w:p>
      <w:pPr>
        <w:ind w:left="1020" w:right="60" w:hanging="503"/>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risk assessments or collecting data from suppliers using the RMI CMRT which included questions about the location or mine of origin from in scope suppliers.</w:t>
      </w:r>
    </w:p>
    <w:p>
      <w:pPr>
        <w:spacing w:after="0" w:line="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as part of the survey and our accompanying communications, that, when requested, suppliers provide a statement indicating that conflict minerals are not in use in the supplied parts or complete the CMRT. The CMRT is used to provide the Company with information from the vendors’ supply chains regarding facilities and the origin of necessary conflict minerals processed at these facilities.</w:t>
      </w:r>
    </w:p>
    <w:p>
      <w:pPr>
        <w:spacing w:after="0" w:line="1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needed, following up with suppliers to clarify, update or complete information reported to us through the CMRT or their statement. Responses requiring follow-up included issues with completeness, consistency, supplier’s completeness of facility data, traceability, and indicating conflict minerals were not used in their products when assessed high risk as containing conflict minerals.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communicated to our suppliers that we expect all materials supplied to the Company to be free of conflict minerals from facilities which directly or indirectly support the illegal armed groups in the DRC region. However, continuing to source from conformant facilities from Covered Countries is acceptable.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RCOI Conflict Minerals Status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determined with respect to our products containing necessary conflict minerals that we know or have reason to believe that some of the necessary conflict minerals originated or may have originated in the Covered Countries. All smelters and refiners identified by our suppliers sourcing from Covered Countries are RMI conformant facilities.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Due Diligence Measures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conflict minerals due diligence process is based on the OECD’s Due Diligence Guidance for Responsible Supply Chains of Minerals from Conflict-Affected and High-Risk Areas (Third Edition 2016), including the Supplement on Tin, Tantalum and Tungsten and the Supplement on Gold (the “OECD Guidance”), a recognized due diligence framework. We conducted due diligence measures on the source and chain of custody of our conflict minerals to determine whether these conflict minerals originated in the DRC or any of the Covered Countries and financed or benefited non-state armed groups in any of these countries.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our Due Diligence Measures</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design of our due diligence measures is specific to our downstream position in the minerals supply chain and the OECD recommendations for downstream actors that have no direct relationships to facilities. As a member of RMI, we evaluate all facilities reported by suppliers against the RMI Smelter Database and the RMI RCOI Data to determine facility validity and country of origin.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design of our due diligence process includes the following steps:</w:t>
      </w:r>
    </w:p>
    <w:p>
      <w:pPr>
        <w:spacing w:after="0" w:line="113"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Establishment of strong internal company management systems</w:t>
      </w:r>
      <w:r>
        <w:rPr>
          <w:rFonts w:ascii="Times New Roman" w:cs="Times New Roman" w:eastAsia="Times New Roman" w:hAnsi="Times New Roman"/>
          <w:sz w:val="18"/>
          <w:szCs w:val="18"/>
          <w:color w:val="auto"/>
        </w:rPr>
        <w:t>, including the following:</w:t>
      </w:r>
    </w:p>
    <w:p>
      <w:pPr>
        <w:spacing w:after="0" w:line="67" w:lineRule="exact"/>
        <w:rPr>
          <w:rFonts w:ascii="Times New Roman" w:cs="Times New Roman" w:eastAsia="Times New Roman" w:hAnsi="Times New Roman"/>
          <w:sz w:val="18"/>
          <w:szCs w:val="18"/>
          <w:b w:val="1"/>
          <w:bCs w:val="1"/>
          <w:color w:val="auto"/>
        </w:rPr>
      </w:pPr>
    </w:p>
    <w:p>
      <w:pPr>
        <w:ind w:left="1540" w:hanging="514"/>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Minerals Sourcing Policy.</w:t>
      </w:r>
    </w:p>
    <w:p>
      <w:pPr>
        <w:spacing w:after="0" w:line="6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Cross-functional Team that includes Procurement, Quality, Product Compliance, and Legal, with executive management support.</w:t>
      </w:r>
    </w:p>
    <w:p>
      <w:pPr>
        <w:spacing w:after="0" w:line="6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minerals process document as part of our ISO 9001/TL9000 Quality Management System “Due Diligence Process for Reporting of Responsible Minerals Sourcing.”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6" w:name="page7"/>
    <w:bookmarkEnd w:id="6"/>
    <w:p>
      <w:pPr>
        <w:ind w:left="154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assessing conflict minerals risks in our supply chain.</w:t>
      </w:r>
    </w:p>
    <w:p>
      <w:pPr>
        <w:spacing w:after="0" w:line="6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strategies to respond to conflict minerals risks identified.</w:t>
      </w:r>
    </w:p>
    <w:p>
      <w:pPr>
        <w:spacing w:after="0" w:line="6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agreement language that includes supplier responsible minerals sourcing requirements.</w:t>
      </w:r>
    </w:p>
    <w:p>
      <w:pPr>
        <w:spacing w:after="0" w:line="6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a responsible minerals sourcing management system that includes data storage, analysis and reporting.</w:t>
      </w:r>
    </w:p>
    <w:p>
      <w:pPr>
        <w:spacing w:after="0" w:line="63" w:lineRule="exact"/>
        <w:rPr>
          <w:rFonts w:ascii="Times New Roman" w:cs="Times New Roman" w:eastAsia="Times New Roman" w:hAnsi="Times New Roman"/>
          <w:sz w:val="18"/>
          <w:szCs w:val="18"/>
          <w:color w:val="auto"/>
        </w:rPr>
      </w:pPr>
    </w:p>
    <w:p>
      <w:pPr>
        <w:ind w:left="1540" w:right="120" w:hanging="514"/>
        <w:spacing w:after="0" w:line="281" w:lineRule="auto"/>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and external parties have access to an ethics reporting system, the EthicsAlert Line (866-277-2410), or may report via the website EthicsPoint - Vistance Networks or email the Company’s Corporate Ethics Officer at ethics@vistancenetworks.com.</w:t>
      </w:r>
    </w:p>
    <w:p>
      <w:pPr>
        <w:spacing w:after="0" w:line="1" w:lineRule="exact"/>
        <w:rPr>
          <w:rFonts w:ascii="Times New Roman" w:cs="Times New Roman" w:eastAsia="Times New Roman" w:hAnsi="Times New Roman"/>
          <w:sz w:val="18"/>
          <w:szCs w:val="18"/>
          <w:color w:val="auto"/>
        </w:rPr>
      </w:pPr>
    </w:p>
    <w:p>
      <w:pPr>
        <w:ind w:left="1540" w:right="120" w:hanging="514"/>
        <w:spacing w:after="0" w:line="281" w:lineRule="auto"/>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Contributing to independent third-party audits of the due diligence practices of conflict minerals facilities by participating in industry organizations.</w:t>
      </w:r>
    </w:p>
    <w:p>
      <w:pPr>
        <w:spacing w:after="0" w:line="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on our conflict minerals supply chain due diligence activities.</w:t>
      </w:r>
    </w:p>
    <w:p>
      <w:pPr>
        <w:spacing w:after="0" w:line="2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and implementation of a strategy to respond to identified risks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follow the OECD Due Diligence Guidance for Responsible Supply Chains Five-Step Framework, step #2 Identify and assess risk in the supply chain. As a downstream supplier, we do not assess the due diligence practices of facilities. We assess supplier responses against internally established criteria for completeness, consistency and risk. We contact suppliers that provided incomplete, inaccurate or untraceable information to correct and/or obtain additional information. Unresponsive suppliers are identified and forwarded to the Procurement Team for further review. Each unresponsive supplier is indicated in a report provided to the Responsible Minerals Corporate Management Team for supplier review to determine if alternative sourcing will be pursued. We encourage in scope suppliers to urge facilities in their supply chain to join the Responsible Minerals Assurance Process (“RMAP”). We evaluate all facilities reported by suppliers against the RMI Smelter Database and the RMI RCOI Data to determine facility validity and country of origin.</w:t>
      </w:r>
    </w:p>
    <w:p>
      <w:pPr>
        <w:spacing w:after="0" w:line="185"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Support of industry organizations to carry out independent third-party audits of facilities’ due diligence practices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support the industry initiative that conducts audits of facilities’ due diligence activities and we encourage our suppliers to source from facilities that participate in the RMAP. As a downstream supplier, we do not have a direct relationship with conflict minerals facilities and do not perform or direct audits of these entities within our supply chain. As a member of RMI, we utilize information made available by RMI concerning independent third-party audits of facilities and country of origin.</w:t>
      </w:r>
    </w:p>
    <w:p>
      <w:pPr>
        <w:spacing w:after="0" w:line="176"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reporting </w:t>
      </w:r>
      <w:r>
        <w:rPr>
          <w:rFonts w:ascii="Times New Roman" w:cs="Times New Roman" w:eastAsia="Times New Roman" w:hAnsi="Times New Roman"/>
          <w:sz w:val="18"/>
          <w:szCs w:val="18"/>
          <w:color w:val="auto"/>
        </w:rPr>
        <w:t>through this Conflict Minerals Report.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Goals to Mitigate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continuously improving our RCOI and due diligence process and intend to take the following steps in 2026:</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Continue participation in RMI to drive the improvement of industry tools, resources and traceability programs.</w:t>
      </w:r>
    </w:p>
    <w:p>
      <w:pPr>
        <w:spacing w:after="0" w:line="6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Continue to educate our suppliers and clearly communicate our expectations of compliance with our responsible minerals requirements.</w:t>
      </w:r>
    </w:p>
    <w:p>
      <w:pPr>
        <w:spacing w:after="0" w:line="6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and follow-up with suppliers on reported unknown, incorrect and high-risk facilities.</w:t>
      </w:r>
    </w:p>
    <w:p>
      <w:pPr>
        <w:spacing w:after="0" w:line="6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applicable, review unresponsive or high-risk suppliers to determine if alternative sourcing is available.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a response rate of 99% to our supplier RCOI and due diligence performed for facilities indicated by suppliers.</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Based on the RMI RCOI Data (dated April 23, 2026) 31 smelters or refiners were identified as sourcing from the Covered Countries and all 31 are conformant according to RMI.</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Overall, of the 243 unique smelters and refiners identified by our suppliers and verified against RMI known smelters and refiners, 211 are listed as “Conformant” by RMI (including the 31 identified as sourcing from Covered Countries) and 5 are “Active” (RMI Smelter Database, dated April 23, 2026). The remaining facilities have various statuses according to RMI.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ind w:right="21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COUNTRIES OF ORIGIN AND FACILITIES USED TO PROCESS CONFLICT MINERALS IN OUR PRODUCTS </w:t>
      </w:r>
      <w:r>
        <w:rPr>
          <w:rFonts w:ascii="Times New Roman" w:cs="Times New Roman" w:eastAsia="Times New Roman" w:hAnsi="Times New Roman"/>
          <w:sz w:val="18"/>
          <w:szCs w:val="18"/>
          <w:color w:val="auto"/>
        </w:rPr>
        <w:t>The following list represents the facilities provided by suppliers, verified against RMI known smelters and refiners.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4394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439420"/>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4840" w:type="dxa"/>
            <w:vAlign w:val="bottom"/>
            <w:tcBorders>
              <w:top w:val="single" w:sz="8" w:color="auto"/>
              <w:left w:val="single" w:sz="8" w:color="auto"/>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Conflict</w:t>
            </w:r>
          </w:p>
        </w:tc>
        <w:tc>
          <w:tcPr>
            <w:tcW w:w="2480" w:type="dxa"/>
            <w:vAlign w:val="bottom"/>
            <w:tcBorders>
              <w:top w:val="single" w:sz="8" w:color="auto"/>
              <w:right w:val="single" w:sz="8" w:color="auto"/>
            </w:tcBorders>
          </w:tcPr>
          <w:p>
            <w:pPr>
              <w:spacing w:after="0"/>
              <w:rPr>
                <w:sz w:val="16"/>
                <w:szCs w:val="16"/>
                <w:color w:val="auto"/>
              </w:rPr>
            </w:pPr>
          </w:p>
        </w:tc>
        <w:tc>
          <w:tcPr>
            <w:tcW w:w="25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Smelter/Refinery Name</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2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RMI ID</w:t>
            </w:r>
          </w:p>
        </w:tc>
        <w:tc>
          <w:tcPr>
            <w:tcW w:w="0" w:type="dxa"/>
            <w:vAlign w:val="bottom"/>
          </w:tcPr>
          <w:p>
            <w:pPr>
              <w:spacing w:after="0"/>
              <w:rPr>
                <w:sz w:val="1"/>
                <w:szCs w:val="1"/>
                <w:color w:val="auto"/>
              </w:rPr>
            </w:pPr>
          </w:p>
        </w:tc>
      </w:tr>
      <w:tr>
        <w:trPr>
          <w:trHeight w:val="191"/>
        </w:trPr>
        <w:tc>
          <w:tcPr>
            <w:tcW w:w="48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Advanced Chemical Company</w:t>
            </w:r>
          </w:p>
        </w:tc>
        <w:tc>
          <w:tcPr>
            <w:tcW w:w="14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CID000015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CID000019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Agosi AG</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CID000035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UZBEKISTAN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CID000041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CID000058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Argor-Heraeus S.A.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CID000077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METALFINE, Inc.</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CID000082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Asaka Riken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CID000090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AG, Hamburg</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CID000113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Bangko Sentral ng Pilipinas (Central Bank</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CID000128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 the Philippines)</w:t>
            </w:r>
          </w:p>
        </w:tc>
        <w:tc>
          <w:tcPr>
            <w:tcW w:w="14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Boliden Mineral AB (Ronnskar)</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SWEDEN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CID000157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 Hafner GmbH + Co. KG</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CID000176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Glencore Canada Corporation - CCR Refinery</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CID000185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Copper Southwest Copper Branch</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CID000197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Chimet S.p.A.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CID000233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Chugai Mining</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CID000264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DSC (Do Sung Corporation)</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CID000359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REPUBLIC OF</w:t>
            </w: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CID000401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CID000425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 Metal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CID000689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REPUBLIC OF</w:t>
            </w: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Heimerle + Meule GmbH</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CID000694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 KONG</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CID000707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CID000711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Inner Mongolia Qiankun Gold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CID000801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Silver Refinery Share Co., Ltd.</w:t>
            </w:r>
          </w:p>
        </w:tc>
        <w:tc>
          <w:tcPr>
            <w:tcW w:w="14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CID000807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Istanbul Gold Refinery</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CID000814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Mint</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CID000823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Copper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CID000855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USA Inc.</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CID000920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CID000924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CID000937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Kazzinc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CID000957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CID000969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Kojima Chemicals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CID000981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LS MnM Inc.</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CID001078</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REPUBLIC OF</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CID001093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Materion</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CID001113</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Matsuda Sangyo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CID001119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CID001147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CID001149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SINGAPORE</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CID001152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CID001153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CID001157</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40" w:type="dxa"/>
            <w:vAlign w:val="bottom"/>
            <w:tcBorders>
              <w:left w:val="single" w:sz="8" w:color="auto"/>
              <w:bottom w:val="single" w:sz="8" w:color="auto"/>
              <w:right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vMerge w:val="continue"/>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48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List of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439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439420"/>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4840" w:type="dxa"/>
            <w:vAlign w:val="bottom"/>
            <w:tcBorders>
              <w:top w:val="single" w:sz="8" w:color="auto"/>
              <w:left w:val="single" w:sz="8" w:color="auto"/>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Conflict</w:t>
            </w:r>
          </w:p>
        </w:tc>
        <w:tc>
          <w:tcPr>
            <w:tcW w:w="2480" w:type="dxa"/>
            <w:vAlign w:val="bottom"/>
            <w:tcBorders>
              <w:top w:val="single" w:sz="8" w:color="auto"/>
              <w:right w:val="single" w:sz="8" w:color="auto"/>
            </w:tcBorders>
          </w:tcPr>
          <w:p>
            <w:pPr>
              <w:spacing w:after="0"/>
              <w:rPr>
                <w:sz w:val="16"/>
                <w:szCs w:val="16"/>
                <w:color w:val="auto"/>
              </w:rPr>
            </w:pPr>
          </w:p>
        </w:tc>
        <w:tc>
          <w:tcPr>
            <w:tcW w:w="25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Smelter/Refinery Name</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2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RMI ID</w:t>
            </w:r>
          </w:p>
        </w:tc>
        <w:tc>
          <w:tcPr>
            <w:tcW w:w="0" w:type="dxa"/>
            <w:vAlign w:val="bottom"/>
          </w:tcPr>
          <w:p>
            <w:pPr>
              <w:spacing w:after="0"/>
              <w:rPr>
                <w:sz w:val="1"/>
                <w:szCs w:val="1"/>
                <w:color w:val="auto"/>
              </w:rPr>
            </w:pPr>
          </w:p>
        </w:tc>
      </w:tr>
      <w:tr>
        <w:trPr>
          <w:trHeight w:val="191"/>
        </w:trPr>
        <w:tc>
          <w:tcPr>
            <w:tcW w:w="48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Metalurgica Met-Mex Penoles S.A. De C.V.</w:t>
            </w:r>
          </w:p>
        </w:tc>
        <w:tc>
          <w:tcPr>
            <w:tcW w:w="14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MEXICO</w:t>
            </w:r>
          </w:p>
        </w:tc>
        <w:tc>
          <w:tcPr>
            <w:tcW w:w="25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CID001161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CID001188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CID001220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UZBEKISTAN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CID001236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Material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CID001259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CID001325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MKS PAMP SA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CID001352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CID001397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PX Precinox S.A.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CID001498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Rand Refinery (Pty)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CID001512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 Canadian Mint</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CID001534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CID001585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CID001622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CID001736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CID001761</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CHINA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CID001798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CID001875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CID001909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CID001916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Tokuriki Honten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CID001938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Tongling Nonferrous Jinguan (Ausmelt)</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CID001947</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Copper Industry</w:t>
            </w: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40" w:type="dxa"/>
            <w:vAlign w:val="bottom"/>
            <w:tcBorders>
              <w:left w:val="single" w:sz="8" w:color="auto"/>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KOREA,</w:t>
            </w: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Torecom</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vMerge w:val="continue"/>
          </w:tcPr>
          <w:p>
            <w:pPr>
              <w:spacing w:after="0"/>
              <w:rPr>
                <w:sz w:val="17"/>
                <w:szCs w:val="17"/>
                <w:color w:val="auto"/>
              </w:rPr>
            </w:pP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CID001955</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REPUBLIC OF</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Umicore S.A. Business Unit Precious</w:t>
            </w:r>
          </w:p>
        </w:tc>
        <w:tc>
          <w:tcPr>
            <w:tcW w:w="142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40" w:type="dxa"/>
            <w:vAlign w:val="bottom"/>
            <w:tcBorders>
              <w:left w:val="single" w:sz="8" w:color="auto"/>
              <w:right w:val="single" w:sz="8" w:color="auto"/>
            </w:tcBorders>
            <w:vMerge w:val="continue"/>
          </w:tcPr>
          <w:p>
            <w:pPr>
              <w:spacing w:after="0"/>
              <w:rPr>
                <w:sz w:val="17"/>
                <w:szCs w:val="17"/>
                <w:color w:val="auto"/>
              </w:rPr>
            </w:pP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BELGIUM</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CID001980</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Metals Refining</w:t>
            </w: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40" w:type="dxa"/>
            <w:vAlign w:val="bottom"/>
            <w:tcBorders>
              <w:left w:val="single" w:sz="8" w:color="auto"/>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vMerge w:val="continue"/>
          </w:tcPr>
          <w:p>
            <w:pPr>
              <w:spacing w:after="0"/>
              <w:rPr>
                <w:sz w:val="17"/>
                <w:szCs w:val="17"/>
                <w:color w:val="auto"/>
              </w:rPr>
            </w:pP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CID001993</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Valcambi S.A.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CID002003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Corporation - The Perth Mint</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CID002030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Yamakin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CID002100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Yokohama Metal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CID002129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Zhongyuan Gold Smelter of Zhongjin</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CID002224</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 Corporation</w:t>
            </w: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vMerge w:val="continue"/>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Zijin Mining Group Gold Smelting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CID002243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SAFINA A.S.</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CZECHIA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CID002290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MMTC-PAMP India Pvt.,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T.C.A S.p.A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REMONDIS PMR B.V.</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Korea Zinc Co., Ltd.</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CID002605</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REPUBLIC OF</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TOO Tau-Ken-Altyn</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CID002615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CID002708</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L'Orfebre S.A.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ANDORRA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Italpreziosi</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Oegussa Oesterreichische Gold- und</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AUSTRIA</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CID002779</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Silber-Scheideanstalt Gesm.b.H.</w:t>
            </w: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vMerge w:val="continue"/>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Bangalore Refinery</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CID002863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SungEel HiMetal Co., Ltd.</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CID002918</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REPUBLIC OF</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CHILE</w:t>
            </w:r>
          </w:p>
        </w:tc>
        <w:tc>
          <w:tcPr>
            <w:tcW w:w="2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CID002919</w:t>
            </w:r>
          </w:p>
        </w:tc>
        <w:tc>
          <w:tcPr>
            <w:tcW w:w="0" w:type="dxa"/>
            <w:vAlign w:val="bottom"/>
          </w:tcPr>
          <w:p>
            <w:pPr>
              <w:spacing w:after="0"/>
              <w:rPr>
                <w:sz w:val="1"/>
                <w:szCs w:val="1"/>
                <w:color w:val="auto"/>
              </w:rPr>
            </w:pPr>
          </w:p>
        </w:tc>
      </w:tr>
      <w:tr>
        <w:trPr>
          <w:trHeight w:val="756"/>
        </w:trPr>
        <w:tc>
          <w:tcPr>
            <w:tcW w:w="48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List of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439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439420"/>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4840" w:type="dxa"/>
            <w:vAlign w:val="bottom"/>
            <w:tcBorders>
              <w:top w:val="single" w:sz="8" w:color="auto"/>
              <w:left w:val="single" w:sz="8" w:color="auto"/>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Conflict</w:t>
            </w:r>
          </w:p>
        </w:tc>
        <w:tc>
          <w:tcPr>
            <w:tcW w:w="2480" w:type="dxa"/>
            <w:vAlign w:val="bottom"/>
            <w:tcBorders>
              <w:top w:val="single" w:sz="8" w:color="auto"/>
              <w:right w:val="single" w:sz="8" w:color="auto"/>
            </w:tcBorders>
          </w:tcPr>
          <w:p>
            <w:pPr>
              <w:spacing w:after="0"/>
              <w:rPr>
                <w:sz w:val="16"/>
                <w:szCs w:val="16"/>
                <w:color w:val="auto"/>
              </w:rPr>
            </w:pPr>
          </w:p>
        </w:tc>
        <w:tc>
          <w:tcPr>
            <w:tcW w:w="25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Smelter/Refinery Name</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2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RMI ID</w:t>
            </w:r>
          </w:p>
        </w:tc>
        <w:tc>
          <w:tcPr>
            <w:tcW w:w="0" w:type="dxa"/>
            <w:vAlign w:val="bottom"/>
          </w:tcPr>
          <w:p>
            <w:pPr>
              <w:spacing w:after="0"/>
              <w:rPr>
                <w:sz w:val="1"/>
                <w:szCs w:val="1"/>
                <w:color w:val="auto"/>
              </w:rPr>
            </w:pPr>
          </w:p>
        </w:tc>
      </w:tr>
      <w:tr>
        <w:trPr>
          <w:trHeight w:val="191"/>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NH Recytech Company</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CID003189</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REPUBLIC OF</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CID003424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CID003425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CID003575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WEEEREFINING</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CID003615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by Gold Colombia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CID003641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Coimpa Industrial LTDA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CID004010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GG Refinery Ltd.</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TANZANIA, UNITED</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CID004506</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REPUBLIC OF</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Impala Platinum - Base Metal Refinery (BMR)</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CID004604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CID004610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CID004714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Elite Industech Co., Ltd.</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CID004755</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CHINA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CID000211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CID000291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CID000460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CID000616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CID000914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Tanbre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CID000917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AMG Brasil</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CID001076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CID001163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CID001175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Kinzoku Company, Limited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NPM Silmet OU</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ESTONIA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CID001200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CID001277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QuantumClean</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CID001508</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CID001522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Taki Chemical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CID001869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Telex Metals</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CID001891</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CID001969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CID002492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 Block Metals, LLC</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CID002504</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de Mexico</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CID002539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GmbH</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STEREON Metals Hermsdorf GmbH</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Materion Newton Inc.</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CID002548</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Japan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CID002557</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CID002842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PowerX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CID004054</w:t>
            </w:r>
          </w:p>
        </w:tc>
        <w:tc>
          <w:tcPr>
            <w:tcW w:w="0" w:type="dxa"/>
            <w:vAlign w:val="bottom"/>
          </w:tcPr>
          <w:p>
            <w:pPr>
              <w:spacing w:after="0"/>
              <w:rPr>
                <w:sz w:val="1"/>
                <w:szCs w:val="1"/>
                <w:color w:val="auto"/>
              </w:rPr>
            </w:pPr>
          </w:p>
        </w:tc>
      </w:tr>
      <w:tr>
        <w:trPr>
          <w:trHeight w:val="234"/>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2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CID004813</w:t>
            </w:r>
          </w:p>
        </w:tc>
        <w:tc>
          <w:tcPr>
            <w:tcW w:w="0" w:type="dxa"/>
            <w:vAlign w:val="bottom"/>
          </w:tcPr>
          <w:p>
            <w:pPr>
              <w:spacing w:after="0"/>
              <w:rPr>
                <w:sz w:val="1"/>
                <w:szCs w:val="1"/>
                <w:color w:val="auto"/>
              </w:rPr>
            </w:pPr>
          </w:p>
        </w:tc>
      </w:tr>
      <w:tr>
        <w:trPr>
          <w:trHeight w:val="757"/>
        </w:trPr>
        <w:tc>
          <w:tcPr>
            <w:tcW w:w="48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List of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439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439420"/>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4840" w:type="dxa"/>
            <w:vAlign w:val="bottom"/>
            <w:tcBorders>
              <w:top w:val="single" w:sz="8" w:color="auto"/>
              <w:left w:val="single" w:sz="8" w:color="auto"/>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Conflict</w:t>
            </w:r>
          </w:p>
        </w:tc>
        <w:tc>
          <w:tcPr>
            <w:tcW w:w="2480" w:type="dxa"/>
            <w:vAlign w:val="bottom"/>
            <w:tcBorders>
              <w:top w:val="single" w:sz="8" w:color="auto"/>
              <w:right w:val="single" w:sz="8" w:color="auto"/>
            </w:tcBorders>
          </w:tcPr>
          <w:p>
            <w:pPr>
              <w:spacing w:after="0"/>
              <w:rPr>
                <w:sz w:val="16"/>
                <w:szCs w:val="16"/>
                <w:color w:val="auto"/>
              </w:rPr>
            </w:pPr>
          </w:p>
        </w:tc>
        <w:tc>
          <w:tcPr>
            <w:tcW w:w="25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Smelter/Refinery Name</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2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RMI ID</w:t>
            </w:r>
          </w:p>
        </w:tc>
        <w:tc>
          <w:tcPr>
            <w:tcW w:w="0" w:type="dxa"/>
            <w:vAlign w:val="bottom"/>
          </w:tcPr>
          <w:p>
            <w:pPr>
              <w:spacing w:after="0"/>
              <w:rPr>
                <w:sz w:val="1"/>
                <w:szCs w:val="1"/>
                <w:color w:val="auto"/>
              </w:rPr>
            </w:pPr>
          </w:p>
        </w:tc>
      </w:tr>
      <w:tr>
        <w:trPr>
          <w:trHeight w:val="191"/>
        </w:trPr>
        <w:tc>
          <w:tcPr>
            <w:tcW w:w="48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14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CID000228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CID000292</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CID000309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CID000313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CID000377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CID000402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BOLIVIA</w:t>
            </w: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Empresa Metallurgica Vinto</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(PLURINATIONAL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CID000438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 OF)</w:t>
            </w: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Estanho de Rondonia S.A.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CID000448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Feinhutte Halsbrucke GmbH</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CID000466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Fenix Metals</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CID000468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CID000538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Tin Group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CID001070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Metallic Resources, Inc.</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CID001142</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CID001173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Minsur</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CID001182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CID001231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CID001314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BOLIVIA</w:t>
            </w: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(PLURINATIONAL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CID001337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 OF)</w:t>
            </w: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Artha Cipta Langgeng</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CID001399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Stania Prima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CID001453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Prima Timah Utama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CID001458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Kundur</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CID001477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Mentok</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CID001482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Rui Da Hung</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CID001539</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CHINA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Soft Metais Ltda.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CID001758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Thaisarco</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CID001898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CID001908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CID002015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CID002036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CID002158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CID002180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CID002468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Melt Metais e Ligas S.A.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Ayi Jaya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CID002570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Electro-Mechanical Facility of the Cao Bang Minerals</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VIET NAM</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CID002572</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&amp; Metallurgy Joint Stock Company</w:t>
            </w: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vMerge w:val="continue"/>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CID002573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Rajehan Ariq</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CID002593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Cipta Persada Mulia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CID002696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Ligas</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CID002756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Beerse</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Berango</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Prima Tin</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CID002776</w:t>
            </w:r>
          </w:p>
        </w:tc>
        <w:tc>
          <w:tcPr>
            <w:tcW w:w="0" w:type="dxa"/>
            <w:vAlign w:val="bottom"/>
          </w:tcPr>
          <w:p>
            <w:pPr>
              <w:spacing w:after="0"/>
              <w:rPr>
                <w:sz w:val="1"/>
                <w:szCs w:val="1"/>
                <w:color w:val="auto"/>
              </w:rPr>
            </w:pPr>
          </w:p>
        </w:tc>
      </w:tr>
      <w:tr>
        <w:trPr>
          <w:trHeight w:val="234"/>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Modeltech Sdn Bhd</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CID002858</w:t>
            </w:r>
          </w:p>
        </w:tc>
        <w:tc>
          <w:tcPr>
            <w:tcW w:w="0" w:type="dxa"/>
            <w:vAlign w:val="bottom"/>
          </w:tcPr>
          <w:p>
            <w:pPr>
              <w:spacing w:after="0"/>
              <w:rPr>
                <w:sz w:val="1"/>
                <w:szCs w:val="1"/>
                <w:color w:val="auto"/>
              </w:rPr>
            </w:pPr>
          </w:p>
        </w:tc>
      </w:tr>
      <w:tr>
        <w:trPr>
          <w:trHeight w:val="757"/>
        </w:trPr>
        <w:tc>
          <w:tcPr>
            <w:tcW w:w="48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List of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4394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439420"/>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4840" w:type="dxa"/>
            <w:vAlign w:val="bottom"/>
            <w:tcBorders>
              <w:top w:val="single" w:sz="8" w:color="auto"/>
              <w:left w:val="single" w:sz="8" w:color="auto"/>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Conflict</w:t>
            </w:r>
          </w:p>
        </w:tc>
        <w:tc>
          <w:tcPr>
            <w:tcW w:w="2480" w:type="dxa"/>
            <w:vAlign w:val="bottom"/>
            <w:tcBorders>
              <w:top w:val="single" w:sz="8" w:color="auto"/>
              <w:right w:val="single" w:sz="8" w:color="auto"/>
            </w:tcBorders>
          </w:tcPr>
          <w:p>
            <w:pPr>
              <w:spacing w:after="0"/>
              <w:rPr>
                <w:sz w:val="16"/>
                <w:szCs w:val="16"/>
                <w:color w:val="auto"/>
              </w:rPr>
            </w:pPr>
          </w:p>
        </w:tc>
        <w:tc>
          <w:tcPr>
            <w:tcW w:w="25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Smelter/Refinery Name</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2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RMI ID</w:t>
            </w:r>
          </w:p>
        </w:tc>
        <w:tc>
          <w:tcPr>
            <w:tcW w:w="0" w:type="dxa"/>
            <w:vAlign w:val="bottom"/>
          </w:tcPr>
          <w:p>
            <w:pPr>
              <w:spacing w:after="0"/>
              <w:rPr>
                <w:sz w:val="1"/>
                <w:szCs w:val="1"/>
                <w:color w:val="auto"/>
              </w:rPr>
            </w:pPr>
          </w:p>
        </w:tc>
      </w:tr>
      <w:tr>
        <w:trPr>
          <w:trHeight w:val="191"/>
        </w:trPr>
        <w:tc>
          <w:tcPr>
            <w:tcW w:w="48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Guangdong Hanhe Non-ferrous Metal Limited Company</w:t>
            </w:r>
          </w:p>
        </w:tc>
        <w:tc>
          <w:tcPr>
            <w:tcW w:w="14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CID003116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CID003190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CID003325</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CID003356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CID003379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Masbro Alam Stania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Luna Smelter,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CID003397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CID003409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CID003410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CID003449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TRATHO Metal Quimica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CID003474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CID003486</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vMerge w:val="continue"/>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CRM Synergies EMEA, S.L.U.</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CID003524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CID003582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CID003868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CONGO, DEMOCRATIC</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CID004065</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REPUBLIC OF THE</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Takehara PVD Materials Plant / PVD Materials</w:t>
            </w:r>
          </w:p>
        </w:tc>
        <w:tc>
          <w:tcPr>
            <w:tcW w:w="142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40" w:type="dxa"/>
            <w:vAlign w:val="bottom"/>
            <w:tcBorders>
              <w:left w:val="single" w:sz="8" w:color="auto"/>
              <w:right w:val="single" w:sz="8" w:color="auto"/>
            </w:tcBorders>
            <w:vMerge w:val="continue"/>
          </w:tcPr>
          <w:p>
            <w:pPr>
              <w:spacing w:after="0"/>
              <w:rPr>
                <w:sz w:val="17"/>
                <w:szCs w:val="17"/>
                <w:color w:val="auto"/>
              </w:rPr>
            </w:pP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CID004403</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Division of MITSUI MINING &amp; SMELTING CO., LTD.</w:t>
            </w: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vMerge w:val="continue"/>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CID004434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UGANDA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CID004724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CID004754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Longnan Chuangyue Environmental Protection</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CID004796</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Technology Development Co., Ltd</w:t>
            </w: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40" w:type="dxa"/>
            <w:vAlign w:val="bottom"/>
            <w:tcBorders>
              <w:left w:val="single" w:sz="8" w:color="auto"/>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 Kay Metal, Inc</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Tin</w:t>
            </w:r>
          </w:p>
        </w:tc>
        <w:tc>
          <w:tcPr>
            <w:tcW w:w="2480" w:type="dxa"/>
            <w:vAlign w:val="bottom"/>
            <w:tcBorders>
              <w:right w:val="single" w:sz="8" w:color="auto"/>
            </w:tcBorders>
            <w:vMerge w:val="continue"/>
          </w:tcPr>
          <w:p>
            <w:pPr>
              <w:spacing w:after="0"/>
              <w:rPr>
                <w:sz w:val="17"/>
                <w:szCs w:val="17"/>
                <w:color w:val="auto"/>
              </w:rPr>
            </w:pP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CID005189</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A.L.M.T. Corp.</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CID000004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Kennametal Huntsville</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CID000105</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CID000218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CID000258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CID000568</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New Metals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CID000825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Kennametal Fallon</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CID000966</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CID002044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CID002082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CID002315</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CID002316</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Tonggu Non-ferrous Metallurgical</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CID002318</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&amp; Chemical Co., Ltd.</w:t>
            </w: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vMerge w:val="continue"/>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CID002320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CID002321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CID002494</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CID002502</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Shizhuyuan Nonferrous Metals Co., Ltd.</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CID002513</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Chenzhou Tungsten Products Branch</w:t>
            </w: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vMerge w:val="continue"/>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Tungsten GmbH</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CID002542</w:t>
            </w:r>
          </w:p>
        </w:tc>
        <w:tc>
          <w:tcPr>
            <w:tcW w:w="0" w:type="dxa"/>
            <w:vAlign w:val="bottom"/>
          </w:tcPr>
          <w:p>
            <w:pPr>
              <w:spacing w:after="0"/>
              <w:rPr>
                <w:sz w:val="1"/>
                <w:szCs w:val="1"/>
                <w:color w:val="auto"/>
              </w:rPr>
            </w:pPr>
          </w:p>
        </w:tc>
      </w:tr>
      <w:tr>
        <w:trPr>
          <w:trHeight w:val="234"/>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Masan High-Tech Materials</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CID002543</w:t>
            </w:r>
          </w:p>
        </w:tc>
        <w:tc>
          <w:tcPr>
            <w:tcW w:w="0" w:type="dxa"/>
            <w:vAlign w:val="bottom"/>
          </w:tcPr>
          <w:p>
            <w:pPr>
              <w:spacing w:after="0"/>
              <w:rPr>
                <w:sz w:val="1"/>
                <w:szCs w:val="1"/>
                <w:color w:val="auto"/>
              </w:rPr>
            </w:pPr>
          </w:p>
        </w:tc>
      </w:tr>
      <w:tr>
        <w:trPr>
          <w:trHeight w:val="757"/>
        </w:trPr>
        <w:tc>
          <w:tcPr>
            <w:tcW w:w="48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List of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4394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439420"/>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4840" w:type="dxa"/>
            <w:vAlign w:val="bottom"/>
            <w:tcBorders>
              <w:top w:val="single" w:sz="8" w:color="auto"/>
              <w:left w:val="single" w:sz="8" w:color="auto"/>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Conflict</w:t>
            </w:r>
          </w:p>
        </w:tc>
        <w:tc>
          <w:tcPr>
            <w:tcW w:w="2480" w:type="dxa"/>
            <w:vAlign w:val="bottom"/>
            <w:tcBorders>
              <w:top w:val="single" w:sz="8" w:color="auto"/>
              <w:right w:val="single" w:sz="8" w:color="auto"/>
            </w:tcBorders>
          </w:tcPr>
          <w:p>
            <w:pPr>
              <w:spacing w:after="0"/>
              <w:rPr>
                <w:sz w:val="16"/>
                <w:szCs w:val="16"/>
                <w:color w:val="auto"/>
              </w:rPr>
            </w:pPr>
          </w:p>
        </w:tc>
        <w:tc>
          <w:tcPr>
            <w:tcW w:w="25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Smelter/Refinery Name</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2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RMI ID</w:t>
            </w:r>
          </w:p>
        </w:tc>
        <w:tc>
          <w:tcPr>
            <w:tcW w:w="0" w:type="dxa"/>
            <w:vAlign w:val="bottom"/>
          </w:tcPr>
          <w:p>
            <w:pPr>
              <w:spacing w:after="0"/>
              <w:rPr>
                <w:sz w:val="1"/>
                <w:szCs w:val="1"/>
                <w:color w:val="auto"/>
              </w:rPr>
            </w:pPr>
          </w:p>
        </w:tc>
      </w:tr>
      <w:tr>
        <w:trPr>
          <w:trHeight w:val="191"/>
        </w:trPr>
        <w:tc>
          <w:tcPr>
            <w:tcW w:w="48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Jiangwu H.C. Starck Tungsten Products Co., Ltd.</w:t>
            </w:r>
          </w:p>
        </w:tc>
        <w:tc>
          <w:tcPr>
            <w:tcW w:w="14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CID002551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Niagara Refining LLC</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CID002589</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AMERICA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CID002641</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Lianyou Metals Co., Ltd.</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CID003407</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CHINA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CID003417</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Cronimet Brasil Ltda</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CID003468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CID003609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CID003993</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Lianyou Resources Co., Ltd.</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CID004397</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CHINA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CID004430</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CID004438</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CID004619</w:t>
            </w:r>
          </w:p>
        </w:tc>
        <w:tc>
          <w:tcPr>
            <w:tcW w:w="0" w:type="dxa"/>
            <w:vAlign w:val="bottom"/>
          </w:tcPr>
          <w:p>
            <w:pPr>
              <w:spacing w:after="0"/>
              <w:rPr>
                <w:sz w:val="1"/>
                <w:szCs w:val="1"/>
                <w:color w:val="auto"/>
              </w:rPr>
            </w:pPr>
          </w:p>
        </w:tc>
      </w:tr>
      <w:tr>
        <w:trPr>
          <w:trHeight w:val="216"/>
        </w:trPr>
        <w:tc>
          <w:tcPr>
            <w:tcW w:w="4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Tungsten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CID005012</w:t>
            </w:r>
          </w:p>
        </w:tc>
        <w:tc>
          <w:tcPr>
            <w:tcW w:w="0" w:type="dxa"/>
            <w:vAlign w:val="bottom"/>
          </w:tcPr>
          <w:p>
            <w:pPr>
              <w:spacing w:after="0"/>
              <w:rPr>
                <w:sz w:val="1"/>
                <w:szCs w:val="1"/>
                <w:color w:val="auto"/>
              </w:rPr>
            </w:pPr>
          </w:p>
        </w:tc>
      </w:tr>
      <w:tr>
        <w:trPr>
          <w:trHeight w:val="126"/>
        </w:trPr>
        <w:tc>
          <w:tcPr>
            <w:tcW w:w="48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CHINA</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40" w:type="dxa"/>
            <w:vAlign w:val="bottom"/>
            <w:tcBorders>
              <w:left w:val="single" w:sz="8" w:color="auto"/>
              <w:bottom w:val="single" w:sz="8" w:color="auto"/>
              <w:right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vMerge w:val="continue"/>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Countries of origin for these facilities are believed to include: </w:t>
      </w:r>
      <w:r>
        <w:rPr>
          <w:rFonts w:ascii="Times New Roman" w:cs="Times New Roman" w:eastAsia="Times New Roman" w:hAnsi="Times New Roman"/>
          <w:sz w:val="18"/>
          <w:szCs w:val="18"/>
          <w:color w:val="auto"/>
        </w:rPr>
        <w:t>Andorra, Australia, Austria, Belgium, Plurinational State Of Bolivia, Brazil,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Chile, China, Colombia, Democratic Republic of the Congo, Czechia, Estonia, France, Germany, Hong Kong, India, Indonesia, Italy, Japan, Kazakhstan, Republic Of Korea, Malaysia, Mexico, Netherlands, Peru, Philippines, Poland, Rwanda, Singapore, South Africa, Spain, Sweden, Switzerland, Taiwan Province Of China, Tanzania, United Republic of Thailand, Turkey, Uganda, United States of America, Uzbekistan, Viet Nam.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EFFORTS TO DETERMINE THE CONFLICT MINERALS’ MINE OR LOCATION OF ORIGIN</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Through our participation in the RMI and requiring our suppliers to complete the CMRT, and given our downstream position in the minerals supply chain, we have determined that seeking information about conflict mineral smelters and refiners in our supply chain represents the most reasonable effort we can make to determine the mines or locations of origin of the conflict minerals in our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7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
      <w:numFmt w:val="bullet"/>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2026-05-15T11:01:34Z</dcterms:created>
  <dcterms:modified xsi:type="dcterms:W3CDTF">2026-05-15T11:01:34Z</dcterms:modified>
</cp:coreProperties>
</file>