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COMMSCOPE HOLDING COMPANY, INC.</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300" w:type="dxa"/>
            <w:vAlign w:val="bottom"/>
          </w:tcPr>
          <w:p>
            <w:pPr>
              <w:jc w:val="center"/>
              <w:ind w:right="779"/>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39"/>
              <w:spacing w:after="0"/>
              <w:rPr>
                <w:sz w:val="20"/>
                <w:szCs w:val="20"/>
                <w:color w:val="auto"/>
              </w:rPr>
            </w:pPr>
            <w:r>
              <w:rPr>
                <w:rFonts w:ascii="Arial" w:cs="Arial" w:eastAsia="Arial" w:hAnsi="Arial"/>
                <w:sz w:val="18"/>
                <w:szCs w:val="18"/>
                <w:b w:val="1"/>
                <w:bCs w:val="1"/>
                <w:color w:val="auto"/>
              </w:rPr>
              <w:t>001-36146</w:t>
            </w:r>
          </w:p>
        </w:tc>
        <w:tc>
          <w:tcPr>
            <w:tcW w:w="2300" w:type="dxa"/>
            <w:vAlign w:val="bottom"/>
          </w:tcPr>
          <w:p>
            <w:pPr>
              <w:jc w:val="right"/>
              <w:ind w:right="61"/>
              <w:spacing w:after="0"/>
              <w:rPr>
                <w:sz w:val="20"/>
                <w:szCs w:val="20"/>
                <w:color w:val="auto"/>
              </w:rPr>
            </w:pPr>
            <w:r>
              <w:rPr>
                <w:rFonts w:ascii="Arial" w:cs="Arial" w:eastAsia="Arial" w:hAnsi="Arial"/>
                <w:sz w:val="18"/>
                <w:szCs w:val="18"/>
                <w:b w:val="1"/>
                <w:bCs w:val="1"/>
                <w:color w:val="auto"/>
              </w:rPr>
              <w:t>27-4332098</w:t>
            </w:r>
          </w:p>
        </w:tc>
      </w:tr>
      <w:tr>
        <w:trPr>
          <w:trHeight w:val="153"/>
        </w:trPr>
        <w:tc>
          <w:tcPr>
            <w:tcW w:w="3300" w:type="dxa"/>
            <w:vAlign w:val="bottom"/>
          </w:tcPr>
          <w:p>
            <w:pPr>
              <w:jc w:val="center"/>
              <w:ind w:right="759"/>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3680" w:type="dxa"/>
            <w:vAlign w:val="bottom"/>
          </w:tcPr>
          <w:p>
            <w:pPr>
              <w:spacing w:after="0"/>
              <w:rPr>
                <w:sz w:val="13"/>
                <w:szCs w:val="13"/>
                <w:color w:val="auto"/>
              </w:rPr>
            </w:pPr>
          </w:p>
        </w:tc>
        <w:tc>
          <w:tcPr>
            <w:tcW w:w="2300" w:type="dxa"/>
            <w:vAlign w:val="bottom"/>
          </w:tcPr>
          <w:p>
            <w:pPr>
              <w:jc w:val="center"/>
              <w:ind w:left="108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20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4"/>
              </w:rPr>
              <w:t>of Incorporation)</w:t>
            </w:r>
          </w:p>
        </w:tc>
        <w:tc>
          <w:tcPr>
            <w:tcW w:w="3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300" w:type="dxa"/>
            <w:vAlign w:val="bottom"/>
          </w:tcPr>
          <w:p>
            <w:pPr>
              <w:jc w:val="center"/>
              <w:ind w:right="779"/>
              <w:spacing w:after="0"/>
              <w:rPr>
                <w:sz w:val="20"/>
                <w:szCs w:val="20"/>
                <w:color w:val="auto"/>
              </w:rPr>
            </w:pPr>
            <w:r>
              <w:rPr>
                <w:rFonts w:ascii="Arial" w:cs="Arial" w:eastAsia="Arial" w:hAnsi="Arial"/>
                <w:sz w:val="18"/>
                <w:szCs w:val="18"/>
                <w:b w:val="1"/>
                <w:bCs w:val="1"/>
                <w:color w:val="auto"/>
                <w:w w:val="91"/>
              </w:rPr>
              <w:t>3642 E. US Highway 70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93"/>
              </w:rPr>
              <w:t>Claremont, North Carolina</w:t>
            </w:r>
          </w:p>
        </w:tc>
        <w:tc>
          <w:tcPr>
            <w:tcW w:w="3680" w:type="dxa"/>
            <w:vAlign w:val="bottom"/>
          </w:tcPr>
          <w:p>
            <w:pPr>
              <w:spacing w:after="0"/>
              <w:rPr>
                <w:sz w:val="20"/>
                <w:szCs w:val="20"/>
                <w:color w:val="auto"/>
              </w:rPr>
            </w:pPr>
          </w:p>
        </w:tc>
        <w:tc>
          <w:tcPr>
            <w:tcW w:w="2300" w:type="dxa"/>
            <w:vAlign w:val="bottom"/>
          </w:tcPr>
          <w:p>
            <w:pPr>
              <w:jc w:val="right"/>
              <w:ind w:right="261"/>
              <w:spacing w:after="0"/>
              <w:rPr>
                <w:sz w:val="20"/>
                <w:szCs w:val="20"/>
                <w:color w:val="auto"/>
              </w:rPr>
            </w:pPr>
            <w:r>
              <w:rPr>
                <w:rFonts w:ascii="Arial" w:cs="Arial" w:eastAsia="Arial" w:hAnsi="Arial"/>
                <w:sz w:val="18"/>
                <w:szCs w:val="18"/>
                <w:b w:val="1"/>
                <w:bCs w:val="1"/>
                <w:color w:val="auto"/>
              </w:rPr>
              <w:t>28610</w:t>
            </w:r>
          </w:p>
        </w:tc>
      </w:tr>
      <w:tr>
        <w:trPr>
          <w:trHeight w:val="19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5"/>
              </w:rPr>
              <w:t>(Zip Code)</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(828) 459-5000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394"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COMM</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October 30, 2023 CommScope Holding Company, Inc. (the “Company” or “CommScope”) issued a press release relating to certain preliminary financial results for the third quarter of 2023. A copy of the press release, which is incorporated by reference herein, is attached hereto as Exhibit 99.1.</w:t>
      </w:r>
    </w:p>
    <w:p>
      <w:pPr>
        <w:spacing w:after="0" w:line="12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foregoing information (including the exhibit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460" w:type="dxa"/>
            <w:vAlign w:val="bottom"/>
          </w:tcPr>
          <w:p>
            <w:pPr>
              <w:ind w:left="120"/>
              <w:spacing w:after="0" w:line="190" w:lineRule="exact"/>
              <w:rPr>
                <w:sz w:val="20"/>
                <w:szCs w:val="20"/>
                <w:color w:val="auto"/>
              </w:rPr>
            </w:pPr>
            <w:r>
              <w:rPr>
                <w:rFonts w:ascii="Arial" w:cs="Arial" w:eastAsia="Arial" w:hAnsi="Arial"/>
                <w:sz w:val="18"/>
                <w:szCs w:val="18"/>
                <w:color w:val="auto"/>
              </w:rPr>
              <w:t>99.1</w:t>
            </w:r>
          </w:p>
        </w:tc>
        <w:tc>
          <w:tcPr>
            <w:tcW w:w="9780" w:type="dxa"/>
            <w:vAlign w:val="bottom"/>
            <w:gridSpan w:val="2"/>
          </w:tcPr>
          <w:p>
            <w:pPr>
              <w:spacing w:after="0" w:line="190" w:lineRule="exact"/>
              <w:rPr>
                <w:sz w:val="20"/>
                <w:szCs w:val="20"/>
                <w:color w:val="auto"/>
              </w:rPr>
            </w:pPr>
            <w:r>
              <w:rPr>
                <w:rFonts w:ascii="Arial" w:cs="Arial" w:eastAsia="Arial" w:hAnsi="Arial"/>
                <w:sz w:val="18"/>
                <w:szCs w:val="18"/>
                <w:color w:val="0000FF"/>
              </w:rPr>
              <w:t>CommScope Holding Company, Inc. press release, dated October 30, 2023.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460" w:type="dxa"/>
            <w:vAlign w:val="bottom"/>
            <w:tcBorders>
              <w:right w:val="single" w:sz="8" w:color="0000EE"/>
            </w:tcBorders>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8"/>
                <w:szCs w:val="18"/>
                <w:color w:val="auto"/>
              </w:rPr>
              <w:t>104</w:t>
            </w: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03"/>
        </w:trPr>
        <w:tc>
          <w:tcPr>
            <w:tcW w:w="14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0"/>
              <w:spacing w:after="0"/>
              <w:rPr>
                <w:sz w:val="20"/>
                <w:szCs w:val="20"/>
                <w:color w:val="auto"/>
              </w:rPr>
            </w:pPr>
            <w:r>
              <w:rPr>
                <w:rFonts w:ascii="Arial" w:cs="Arial" w:eastAsia="Arial" w:hAnsi="Arial"/>
                <w:sz w:val="18"/>
                <w:szCs w:val="18"/>
                <w:color w:val="auto"/>
              </w:rPr>
              <w:t>Dated: October 30, 2023</w:t>
            </w: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COMMSCOPE HOLDING COMPANY, INC.</w:t>
            </w:r>
          </w:p>
        </w:tc>
      </w:tr>
      <w:tr>
        <w:trPr>
          <w:trHeight w:val="493"/>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Kyle D. Lorentzen</w:t>
            </w:r>
          </w:p>
        </w:tc>
      </w:tr>
      <w:tr>
        <w:trPr>
          <w:trHeight w:val="230"/>
        </w:trPr>
        <w:tc>
          <w:tcPr>
            <w:tcW w:w="62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140"/>
              <w:spacing w:after="0"/>
              <w:rPr>
                <w:sz w:val="20"/>
                <w:szCs w:val="20"/>
                <w:color w:val="auto"/>
              </w:rPr>
            </w:pPr>
            <w:r>
              <w:rPr>
                <w:rFonts w:ascii="Arial" w:cs="Arial" w:eastAsia="Arial" w:hAnsi="Arial"/>
                <w:sz w:val="18"/>
                <w:szCs w:val="18"/>
                <w:color w:val="auto"/>
              </w:rPr>
              <w:t>Kyle D. Lorentzen</w:t>
            </w:r>
          </w:p>
        </w:tc>
      </w:tr>
      <w:tr>
        <w:trPr>
          <w:trHeight w:val="242"/>
        </w:trPr>
        <w:tc>
          <w:tcPr>
            <w:tcW w:w="62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Executive Vice President and</w:t>
            </w:r>
          </w:p>
        </w:tc>
      </w:tr>
      <w:tr>
        <w:trPr>
          <w:trHeight w:val="243"/>
        </w:trPr>
        <w:tc>
          <w:tcPr>
            <w:tcW w:w="6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952"/>
        </w:trPr>
        <w:tc>
          <w:tcPr>
            <w:tcW w:w="6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49240" cy="676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CommScope Announces Preliminary Third Quarter 2023 Results</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Third Quarter Results</w:t>
      </w:r>
    </w:p>
    <w:p>
      <w:pPr>
        <w:spacing w:after="0" w:line="104" w:lineRule="exact"/>
        <w:rPr>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Consolidated net sales of $1.60 billion</w:t>
      </w:r>
    </w:p>
    <w:p>
      <w:pPr>
        <w:spacing w:after="0" w:line="67"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Core net sales of $1.35 billion*</w:t>
      </w:r>
    </w:p>
    <w:p>
      <w:pPr>
        <w:spacing w:after="0" w:line="80"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GAAP net loss of $829 million, which includes non-cash asset impairments of $895 million</w:t>
      </w:r>
    </w:p>
    <w:p>
      <w:pPr>
        <w:spacing w:after="0" w:line="67"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Core adjusted EBITDA of $246 million*</w:t>
      </w:r>
    </w:p>
    <w:p>
      <w:pPr>
        <w:spacing w:after="0" w:line="74" w:lineRule="exact"/>
        <w:rPr>
          <w:rFonts w:ascii="Arial" w:cs="Arial" w:eastAsia="Arial" w:hAnsi="Arial"/>
          <w:sz w:val="20"/>
          <w:szCs w:val="20"/>
          <w:color w:val="auto"/>
        </w:rPr>
      </w:pPr>
    </w:p>
    <w:p>
      <w:pPr>
        <w:ind w:right="60"/>
        <w:spacing w:after="0" w:line="256" w:lineRule="auto"/>
        <w:rPr>
          <w:rFonts w:ascii="Arial" w:cs="Arial" w:eastAsia="Arial" w:hAnsi="Arial"/>
          <w:sz w:val="20"/>
          <w:szCs w:val="20"/>
          <w:color w:val="auto"/>
        </w:rPr>
      </w:pPr>
      <w:r>
        <w:rPr>
          <w:rFonts w:ascii="Arial" w:cs="Arial" w:eastAsia="Arial" w:hAnsi="Arial"/>
          <w:sz w:val="16"/>
          <w:szCs w:val="16"/>
          <w:color w:val="auto"/>
        </w:rPr>
        <w:t>* References to certain supplementary “Core” financial measures reflect the results of the Connectivity and Cable Solutions (CCS), Networking, Intelligent Cellular and Security Solutions (NICS), Outdoor Wireless Networks (OWN) and Access Network Solutions segments (ANS), in the aggregate. Core financial measures exclude the results and performance of the Home Networks (Home) segment of approximately $250 million of net sales and approximately $3 million of adjusted EBITDA.</w:t>
      </w:r>
    </w:p>
    <w:p>
      <w:pPr>
        <w:spacing w:after="0" w:line="169"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 xml:space="preserve">CLAREMONT, NC, October 30, 2023 </w:t>
      </w:r>
      <w:r>
        <w:rPr>
          <w:rFonts w:ascii="Arial" w:cs="Arial" w:eastAsia="Arial" w:hAnsi="Arial"/>
          <w:sz w:val="20"/>
          <w:szCs w:val="20"/>
          <w:color w:val="auto"/>
        </w:rPr>
        <w:t>— CommScope Holding Company, Inc. (NASDAQ: COMM), a global leader in network</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connectivity solutions, is preliminarily reporting results for the quarter that ended September 30, 2023.</w:t>
      </w:r>
    </w:p>
    <w:p>
      <w:pPr>
        <w:spacing w:after="0" w:line="16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Third quarter 2023 CommScope net sales are expected to be approximately $1.60 billion with Core net sales at approximately $1.35 billion. Net sales continue to be negatively impacted, particularly in the CCS and OWN segments, by low order rates driven by customers continuing to hold higher than required inventories, uncertain macroeconomic environment and slower service provider network capital expenditure spending. Net loss attributable to common stockholders is expected to be approximately $829 million, which includes non-cash asset impairments related to the Home and ANS segments of approximately $895 million. Non-GAAP adjusted EBITDA is expected to be approximately $249 million and Core non-GAAP adjusted EBITDA is expected to be approximately $246 million.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Based on lower than anticipated third quarter results and the expectations of continued challenges, CommScope has revised its adjusted EBITDA guideposts down. The Company now expects full year 2023 Core adjusted EBITDA to be in the range of $1.00 to $1.05 billion. A reconciliation of the GAAP results to non-GAAP adjusted results is provided as an appendix to this release.</w:t>
      </w:r>
    </w:p>
    <w:p>
      <w:pPr>
        <w:spacing w:after="0" w:line="168"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“The weaker macroeconomic backdrop and customer inventory digestion continues to negatively impact revenues, resulting in the Company lowering our prior adjusted EBITDA guideposts,” said Chuck Treadway, President and CEO of CommScope. “As we moved through the quarter, in addition to already discussed challenges in CCS and OWN, we also saw demand weaken in our ANS business where customers are managing higher than required inventory levels and experiencing project delays in some of their upgrade plans. We believe this softer demand environment will continue as we move into the first half of 2024, impacting both revenue and profitability. However, we are encouraged that our work towards efficiencies and cost actions positions us well when the demand for our products returns. Furthermore, we feel we are well-positioned to benefit from major government programs and technology cycles that will enable us to reach our long-term goals, including wireless, government broadband investments and enterprise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29" w:lineRule="auto"/>
        <w:rPr>
          <w:sz w:val="20"/>
          <w:szCs w:val="20"/>
          <w:color w:val="auto"/>
        </w:rPr>
      </w:pPr>
      <w:r>
        <w:rPr>
          <w:rFonts w:ascii="Arial" w:cs="Arial" w:eastAsia="Arial" w:hAnsi="Arial"/>
          <w:sz w:val="20"/>
          <w:szCs w:val="20"/>
          <w:color w:val="auto"/>
        </w:rPr>
        <w:t>The expected third quarter 2023 results set out above are still preliminary and subject to the Company’s quarter-end close procedures. The Company’s consolidated financial statements as of, and for the three months ended, September 30, 2023 are not yet available. Accordingly, the information presented herein reflects the Company’s preliminary estimates subject to the completion of the Company’s financial closing procedures and any adjustments that may result from the completion of the quarterly review of the Company’s consolidated financial statements. As a result, these preliminary estimates may differ from the actual results that will be reflected in the Company’s consolidated financial statements for the third quarter when they are completed and publicly disclosed. These preliminary estimates may change and those changes may be material. The Company’s expectations with respect to its unaudited results for the period discussed above are based upon management estimates.</w:t>
      </w:r>
    </w:p>
    <w:p>
      <w:pPr>
        <w:spacing w:after="0" w:line="185"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The preliminary full year 2023 financial outlook estimates described above are based on information available to management as of the date of this report, and as a result, these expectations could change.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Webcast and Investor Presentation</w:t>
      </w:r>
    </w:p>
    <w:p>
      <w:pPr>
        <w:spacing w:after="0" w:line="104"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As previously announced, CommScope will host a conference call on November 9th at 8:30 a.m. ET in which management will discuss third quarter 2023 results. The conference call will also be webcast.</w:t>
      </w:r>
    </w:p>
    <w:p>
      <w:pPr>
        <w:spacing w:after="0" w:line="175" w:lineRule="exact"/>
        <w:rPr>
          <w:sz w:val="20"/>
          <w:szCs w:val="20"/>
          <w:color w:val="auto"/>
        </w:rPr>
      </w:pPr>
    </w:p>
    <w:p>
      <w:pPr>
        <w:ind w:right="440"/>
        <w:spacing w:after="0" w:line="247" w:lineRule="auto"/>
        <w:rPr>
          <w:sz w:val="20"/>
          <w:szCs w:val="20"/>
          <w:color w:val="auto"/>
        </w:rPr>
      </w:pPr>
      <w:r>
        <w:rPr>
          <w:rFonts w:ascii="Arial" w:cs="Arial" w:eastAsia="Arial" w:hAnsi="Arial"/>
          <w:sz w:val="20"/>
          <w:szCs w:val="20"/>
          <w:color w:val="auto"/>
        </w:rPr>
        <w:t>The live, listen-only audio of the call will be available through a link on the Events and Presentations page of CommScope’s Investor Relations website.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webcast replay will be archived on CommScope’s website for a limited period of time following the conference call.</w:t>
      </w:r>
    </w:p>
    <w:p>
      <w:pPr>
        <w:spacing w:after="0" w:line="20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that have occurred after quarter-end, including questions relating to the planned separation of the Home Networks business. The Company’s responses to questions, as well as other matters discussed during the conference call, may contain or constitute information that has not been disclosed previously.</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CommScope:</w:t>
      </w:r>
    </w:p>
    <w:p>
      <w:pPr>
        <w:spacing w:after="0" w:line="10"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CommScope (NASDAQ: COMM) is pushing the boundaries of technology to create the world’s most advanced wired and wireless networks. Our global team of employees, innovators and technologists empower customers to anticipate what’s next and invent what’s possible. Discover more at www.commscope.com.</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Follow us on Twitter and LinkedIn and like us on Facebook.</w:t>
      </w:r>
    </w:p>
    <w:p>
      <w:pPr>
        <w:spacing w:after="0"/>
        <w:rPr>
          <w:sz w:val="20"/>
          <w:szCs w:val="20"/>
          <w:color w:val="auto"/>
        </w:rPr>
      </w:pPr>
      <w:r>
        <w:rPr>
          <w:rFonts w:ascii="Arial" w:cs="Arial" w:eastAsia="Arial" w:hAnsi="Arial"/>
          <w:sz w:val="20"/>
          <w:szCs w:val="20"/>
          <w:color w:val="auto"/>
        </w:rPr>
        <w:t>Sign up for our press releases and blog posts.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5" w:lineRule="auto"/>
        <w:rPr>
          <w:sz w:val="20"/>
          <w:szCs w:val="20"/>
          <w:color w:val="auto"/>
        </w:rPr>
      </w:pPr>
      <w:r>
        <w:rPr>
          <w:rFonts w:ascii="Arial" w:cs="Arial" w:eastAsia="Arial" w:hAnsi="Arial"/>
          <w:sz w:val="20"/>
          <w:szCs w:val="20"/>
          <w:color w:val="auto"/>
        </w:rPr>
        <w:t>Massimo Disabato, CommScope</w:t>
      </w:r>
    </w:p>
    <w:p>
      <w:pPr>
        <w:spacing w:after="0" w:line="226" w:lineRule="auto"/>
        <w:rPr>
          <w:sz w:val="20"/>
          <w:szCs w:val="20"/>
          <w:color w:val="auto"/>
        </w:rPr>
      </w:pPr>
      <w:r>
        <w:rPr>
          <w:rFonts w:ascii="Arial" w:cs="Arial" w:eastAsia="Arial" w:hAnsi="Arial"/>
          <w:sz w:val="20"/>
          <w:szCs w:val="20"/>
          <w:color w:val="auto"/>
        </w:rPr>
        <w:t>+1 630-281-3413</w:t>
      </w:r>
    </w:p>
    <w:p>
      <w:pPr>
        <w:spacing w:after="0"/>
        <w:rPr>
          <w:sz w:val="20"/>
          <w:szCs w:val="20"/>
          <w:color w:val="auto"/>
        </w:rPr>
      </w:pPr>
      <w:r>
        <w:rPr>
          <w:rFonts w:ascii="Arial" w:cs="Arial" w:eastAsia="Arial" w:hAnsi="Arial"/>
          <w:sz w:val="20"/>
          <w:szCs w:val="20"/>
          <w:color w:val="auto"/>
        </w:rPr>
        <w:t>Massimo.Disabato@commscope.com</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News 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publicrelations@commscope.com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w:t>
      </w:r>
    </w:p>
    <w:p>
      <w:pPr>
        <w:spacing w:after="0" w:line="10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CommScope management believes that presenting certain non-GAAP financial measures enhances an investor’s understanding of our financial performance. CommScope management further believes that these financial measures are useful in assessing CommScope’s operating performance from period to period by excluding certain items that we believe are not representative of our core business. CommScope management also uses certain of these financial measures for business planning purposes and in measuring CommScope’s performance relative to that of its competitors. CommScope management believes these financial measures are commonly used by investors to evaluate CommScope’s performance and that of its competitors. However, CommScope’s use of certain non-GAAP terms may vary from that of others in its industry. Non-GAAP financial measures should not be considered as alternatives to operating income (loss), net income (loss) or any other performance measures derived in accordance with U.S. GAAP as measures of operating performance, operating cash flows or liquidity. A reconciliation of each of the non-GAAP measures discussed herein to their most comparable GAAP measures is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Measures</w:t>
      </w:r>
    </w:p>
    <w:p>
      <w:pPr>
        <w:spacing w:after="0" w:line="104"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CommScope believes that presenting Core financial measures enhances the investor’s understanding of the financial performance of the Company’s core businesses. Core financial measures are the aggregate of the CCS, NICS, OWN and ANS segments. They do not include the results of the Home segment. The Core segments and the Home segment represent the business segments as currently managed and reported by CommScope. Future results and the composition of any business divested in the future may vary and differ materially from the presentation of the Core financial measures.</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0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press release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9"/>
          <w:szCs w:val="19"/>
          <w:color w:val="auto"/>
        </w:rPr>
        <w:t>These forward-looking statements are subject to various risks and uncertainties, many of which are outside our control, including, without limitation, the impact of the quarter-end close procedures on the preliminary estimates of the quarterly results contained herein;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operations, including our contract manufacturers on which we rely,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divestiture of the Home segment and its effect on our remaining businesses; the potential separation, divestiture or discontinuance of another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United States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2022 Annual Report on Form 10-K and may be updated from time to time in our annual reports, quarterly reports, current reports and other filings we make with the Securities and Exchange Commission. Although the information contained in this press release represents our best judgment as of the date of this release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press release, except as otherwise may be required by law.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0"/>
              </w:rPr>
              <w:t>CommScope Holding Company, Inc.</w:t>
            </w:r>
          </w:p>
        </w:tc>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Reconciliation of GAAP Measures to Non-GAAP Adjusted Measures</w:t>
            </w:r>
          </w:p>
        </w:tc>
        <w:tc>
          <w:tcPr>
            <w:tcW w:w="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0"/>
              </w:rPr>
              <w:t>(Unaudited -- In millions, except per share amounts)</w:t>
            </w:r>
          </w:p>
        </w:tc>
        <w:tc>
          <w:tcPr>
            <w:tcW w:w="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0"/>
        </w:trPr>
        <w:tc>
          <w:tcPr>
            <w:tcW w:w="8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2"/>
          </w:tcPr>
          <w:p>
            <w:pPr>
              <w:jc w:val="center"/>
              <w:ind w:right="401"/>
              <w:spacing w:after="0"/>
              <w:rPr>
                <w:sz w:val="20"/>
                <w:szCs w:val="20"/>
                <w:color w:val="auto"/>
              </w:rPr>
            </w:pPr>
            <w:r>
              <w:rPr>
                <w:rFonts w:ascii="Arial" w:cs="Arial" w:eastAsia="Arial" w:hAnsi="Arial"/>
                <w:sz w:val="16"/>
                <w:szCs w:val="16"/>
                <w:b w:val="1"/>
                <w:bCs w:val="1"/>
                <w:color w:val="auto"/>
                <w:w w:val="93"/>
              </w:rPr>
              <w:t>Three Months Ended</w:t>
            </w:r>
          </w:p>
        </w:tc>
      </w:tr>
      <w:tr>
        <w:trPr>
          <w:trHeight w:val="243"/>
        </w:trPr>
        <w:tc>
          <w:tcPr>
            <w:tcW w:w="8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2"/>
          </w:tcPr>
          <w:p>
            <w:pPr>
              <w:jc w:val="center"/>
              <w:ind w:right="401"/>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84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9"/>
                <w:szCs w:val="19"/>
                <w:color w:val="auto"/>
              </w:rPr>
            </w:pPr>
          </w:p>
        </w:tc>
      </w:tr>
      <w:tr>
        <w:trPr>
          <w:trHeight w:val="243"/>
        </w:trPr>
        <w:tc>
          <w:tcPr>
            <w:tcW w:w="84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Net loss, as reported</w:t>
            </w: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(828.7</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(158.6 )</w:t>
            </w:r>
          </w:p>
        </w:tc>
      </w:tr>
      <w:tr>
        <w:trPr>
          <w:trHeight w:val="249"/>
        </w:trPr>
        <w:tc>
          <w:tcPr>
            <w:tcW w:w="8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income, as reported</w:t>
            </w:r>
          </w:p>
        </w:tc>
        <w:tc>
          <w:tcPr>
            <w:tcW w:w="360" w:type="dxa"/>
            <w:vAlign w:val="bottom"/>
            <w:shd w:val="clear" w:color="auto" w:fill="CCECFF"/>
          </w:tcPr>
          <w:p>
            <w:pPr>
              <w:spacing w:after="0"/>
              <w:rPr>
                <w:sz w:val="21"/>
                <w:szCs w:val="21"/>
                <w:color w:val="auto"/>
              </w:rPr>
            </w:pPr>
          </w:p>
        </w:tc>
        <w:tc>
          <w:tcPr>
            <w:tcW w:w="24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(3.4 )</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Interest expense, as reported</w:t>
            </w:r>
          </w:p>
        </w:tc>
        <w:tc>
          <w:tcPr>
            <w:tcW w:w="3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0"/>
                <w:szCs w:val="20"/>
                <w:color w:val="auto"/>
              </w:rPr>
            </w:pPr>
          </w:p>
        </w:tc>
      </w:tr>
      <w:tr>
        <w:trPr>
          <w:trHeight w:val="249"/>
        </w:trPr>
        <w:tc>
          <w:tcPr>
            <w:tcW w:w="8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net, as reported</w:t>
            </w:r>
          </w:p>
        </w:tc>
        <w:tc>
          <w:tcPr>
            <w:tcW w:w="360" w:type="dxa"/>
            <w:vAlign w:val="bottom"/>
            <w:shd w:val="clear" w:color="auto" w:fill="CCECFF"/>
          </w:tcPr>
          <w:p>
            <w:pPr>
              <w:spacing w:after="0"/>
              <w:rPr>
                <w:sz w:val="21"/>
                <w:szCs w:val="21"/>
                <w:color w:val="auto"/>
              </w:rPr>
            </w:pPr>
          </w:p>
        </w:tc>
        <w:tc>
          <w:tcPr>
            <w:tcW w:w="24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84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loss, as reported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(825.8 )</w:t>
            </w:r>
          </w:p>
        </w:tc>
      </w:tr>
      <w:tr>
        <w:trPr>
          <w:trHeight w:val="249"/>
        </w:trPr>
        <w:tc>
          <w:tcPr>
            <w:tcW w:w="8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84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3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r>
      <w:tr>
        <w:trPr>
          <w:trHeight w:val="249"/>
        </w:trPr>
        <w:tc>
          <w:tcPr>
            <w:tcW w:w="84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net</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CFF"/>
          </w:tcPr>
          <w:p>
            <w:pPr>
              <w:spacing w:after="0"/>
              <w:rPr>
                <w:sz w:val="21"/>
                <w:szCs w:val="21"/>
                <w:color w:val="auto"/>
              </w:rPr>
            </w:pPr>
          </w:p>
        </w:tc>
      </w:tr>
      <w:tr>
        <w:trPr>
          <w:trHeight w:val="237"/>
        </w:trPr>
        <w:tc>
          <w:tcPr>
            <w:tcW w:w="844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3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r>
      <w:tr>
        <w:trPr>
          <w:trHeight w:val="249"/>
        </w:trPr>
        <w:tc>
          <w:tcPr>
            <w:tcW w:w="84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CFF"/>
          </w:tcPr>
          <w:p>
            <w:pPr>
              <w:spacing w:after="0"/>
              <w:rPr>
                <w:sz w:val="21"/>
                <w:szCs w:val="21"/>
                <w:color w:val="auto"/>
              </w:rPr>
            </w:pPr>
          </w:p>
        </w:tc>
      </w:tr>
      <w:tr>
        <w:trPr>
          <w:trHeight w:val="237"/>
        </w:trPr>
        <w:tc>
          <w:tcPr>
            <w:tcW w:w="84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3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r>
      <w:tr>
        <w:trPr>
          <w:trHeight w:val="249"/>
        </w:trPr>
        <w:tc>
          <w:tcPr>
            <w:tcW w:w="84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CFF"/>
          </w:tcPr>
          <w:p>
            <w:pPr>
              <w:spacing w:after="0"/>
              <w:rPr>
                <w:sz w:val="21"/>
                <w:szCs w:val="21"/>
                <w:color w:val="auto"/>
              </w:rPr>
            </w:pPr>
          </w:p>
        </w:tc>
      </w:tr>
      <w:tr>
        <w:trPr>
          <w:trHeight w:val="237"/>
        </w:trPr>
        <w:tc>
          <w:tcPr>
            <w:tcW w:w="844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3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49"/>
        </w:trPr>
        <w:tc>
          <w:tcPr>
            <w:tcW w:w="84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Cyber incident costs</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CFF"/>
          </w:tcPr>
          <w:p>
            <w:pPr>
              <w:spacing w:after="0"/>
              <w:rPr>
                <w:sz w:val="21"/>
                <w:szCs w:val="21"/>
                <w:color w:val="auto"/>
              </w:rPr>
            </w:pP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r>
      <w:tr>
        <w:trPr>
          <w:trHeight w:val="236"/>
        </w:trPr>
        <w:tc>
          <w:tcPr>
            <w:tcW w:w="844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8"/>
                <w:szCs w:val="18"/>
                <w:color w:val="auto"/>
              </w:rPr>
              <w:t>Total adjustments to operating loss</w:t>
            </w:r>
          </w:p>
        </w:tc>
        <w:tc>
          <w:tcPr>
            <w:tcW w:w="360" w:type="dxa"/>
            <w:vAlign w:val="bottom"/>
            <w:tcBorders>
              <w:bottom w:val="single" w:sz="8" w:color="auto"/>
            </w:tcBorders>
            <w:shd w:val="clear" w:color="auto" w:fill="CCECFF"/>
          </w:tcPr>
          <w:p>
            <w:pPr>
              <w:spacing w:after="0"/>
              <w:rPr>
                <w:sz w:val="20"/>
                <w:szCs w:val="20"/>
                <w:color w:val="auto"/>
              </w:rPr>
            </w:pPr>
          </w:p>
        </w:tc>
        <w:tc>
          <w:tcPr>
            <w:tcW w:w="2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6"/>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Non-GAAP 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248.6</w:t>
            </w:r>
          </w:p>
        </w:tc>
        <w:tc>
          <w:tcPr>
            <w:tcW w:w="100" w:type="dxa"/>
            <w:vAlign w:val="bottom"/>
          </w:tcPr>
          <w:p>
            <w:pPr>
              <w:spacing w:after="0"/>
              <w:rPr>
                <w:sz w:val="20"/>
                <w:szCs w:val="20"/>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4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440" w:type="dxa"/>
            <w:vAlign w:val="bottom"/>
            <w:gridSpan w:val="2"/>
            <w:shd w:val="clear" w:color="auto" w:fill="CCECFF"/>
          </w:tcPr>
          <w:p>
            <w:pPr>
              <w:spacing w:after="0"/>
              <w:rPr>
                <w:sz w:val="19"/>
                <w:szCs w:val="19"/>
                <w:color w:val="auto"/>
              </w:rPr>
            </w:pPr>
          </w:p>
        </w:tc>
      </w:tr>
      <w:tr>
        <w:trPr>
          <w:trHeight w:val="239"/>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Net loss, as reported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(828.7 )</w:t>
            </w:r>
          </w:p>
        </w:tc>
      </w:tr>
      <w:tr>
        <w:trPr>
          <w:trHeight w:val="247"/>
        </w:trPr>
        <w:tc>
          <w:tcPr>
            <w:tcW w:w="8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8440" w:type="dxa"/>
            <w:vAlign w:val="bottom"/>
          </w:tcPr>
          <w:p>
            <w:pPr>
              <w:ind w:left="200"/>
              <w:spacing w:after="0"/>
              <w:rPr>
                <w:sz w:val="20"/>
                <w:szCs w:val="20"/>
                <w:color w:val="auto"/>
              </w:rPr>
            </w:pPr>
            <w:r>
              <w:rPr>
                <w:rFonts w:ascii="Arial" w:cs="Arial" w:eastAsia="Arial" w:hAnsi="Arial"/>
                <w:sz w:val="18"/>
                <w:szCs w:val="18"/>
                <w:color w:val="auto"/>
              </w:rPr>
              <w:t>Total pretax adjustments to adjusted EBITDA</w:t>
            </w:r>
          </w:p>
        </w:tc>
        <w:tc>
          <w:tcPr>
            <w:tcW w:w="3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0"/>
                <w:szCs w:val="20"/>
                <w:color w:val="auto"/>
              </w:rPr>
            </w:pPr>
          </w:p>
        </w:tc>
      </w:tr>
      <w:tr>
        <w:trPr>
          <w:trHeight w:val="249"/>
        </w:trPr>
        <w:tc>
          <w:tcPr>
            <w:tcW w:w="8440" w:type="dxa"/>
            <w:vAlign w:val="bottom"/>
            <w:shd w:val="clear" w:color="auto" w:fill="CCECFF"/>
          </w:tcPr>
          <w:p>
            <w:pPr>
              <w:ind w:left="200"/>
              <w:spacing w:after="0" w:line="249" w:lineRule="exact"/>
              <w:rPr>
                <w:sz w:val="20"/>
                <w:szCs w:val="20"/>
                <w:color w:val="auto"/>
              </w:rPr>
            </w:pPr>
            <w:r>
              <w:rPr>
                <w:rFonts w:ascii="Arial" w:cs="Arial" w:eastAsia="Arial" w:hAnsi="Arial"/>
                <w:sz w:val="18"/>
                <w:szCs w:val="18"/>
                <w:color w:val="auto"/>
              </w:rPr>
              <w:t xml:space="preserve">Pretax amortization of debt issuance costs and OID </w:t>
            </w:r>
            <w:r>
              <w:rPr>
                <w:rFonts w:ascii="Arial" w:cs="Arial" w:eastAsia="Arial" w:hAnsi="Arial"/>
                <w:sz w:val="24"/>
                <w:szCs w:val="24"/>
                <w:color w:val="auto"/>
                <w:vertAlign w:val="superscript"/>
              </w:rPr>
              <w:t>(1)</w:t>
            </w:r>
          </w:p>
        </w:tc>
        <w:tc>
          <w:tcPr>
            <w:tcW w:w="360" w:type="dxa"/>
            <w:vAlign w:val="bottom"/>
            <w:shd w:val="clear" w:color="auto" w:fill="CCECFF"/>
          </w:tcPr>
          <w:p>
            <w:pPr>
              <w:spacing w:after="0"/>
              <w:rPr>
                <w:sz w:val="21"/>
                <w:szCs w:val="21"/>
                <w:color w:val="auto"/>
              </w:rPr>
            </w:pPr>
          </w:p>
        </w:tc>
        <w:tc>
          <w:tcPr>
            <w:tcW w:w="2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CFF"/>
          </w:tcPr>
          <w:p>
            <w:pPr>
              <w:spacing w:after="0"/>
              <w:rPr>
                <w:sz w:val="21"/>
                <w:szCs w:val="21"/>
                <w:color w:val="auto"/>
              </w:rPr>
            </w:pPr>
          </w:p>
        </w:tc>
      </w:tr>
      <w:tr>
        <w:trPr>
          <w:trHeight w:val="243"/>
        </w:trPr>
        <w:tc>
          <w:tcPr>
            <w:tcW w:w="844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Pretax gain on debt transactions </w:t>
            </w:r>
            <w:r>
              <w:rPr>
                <w:rFonts w:ascii="Arial" w:cs="Arial" w:eastAsia="Arial" w:hAnsi="Arial"/>
                <w:sz w:val="24"/>
                <w:szCs w:val="24"/>
                <w:color w:val="auto"/>
                <w:vertAlign w:val="superscript"/>
              </w:rPr>
              <w:t>(2)</w:t>
            </w:r>
          </w:p>
        </w:tc>
        <w:tc>
          <w:tcPr>
            <w:tcW w:w="360" w:type="dxa"/>
            <w:vAlign w:val="bottom"/>
          </w:tcPr>
          <w:p>
            <w:pPr>
              <w:spacing w:after="0"/>
              <w:rPr>
                <w:sz w:val="21"/>
                <w:szCs w:val="21"/>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8440" w:type="dxa"/>
            <w:vAlign w:val="bottom"/>
            <w:shd w:val="clear" w:color="auto" w:fill="CCECFF"/>
          </w:tcPr>
          <w:p>
            <w:pPr>
              <w:ind w:left="200"/>
              <w:spacing w:after="0" w:line="243" w:lineRule="exact"/>
              <w:rPr>
                <w:sz w:val="20"/>
                <w:szCs w:val="20"/>
                <w:color w:val="auto"/>
              </w:rPr>
            </w:pPr>
            <w:r>
              <w:rPr>
                <w:rFonts w:ascii="Arial" w:cs="Arial" w:eastAsia="Arial" w:hAnsi="Arial"/>
                <w:sz w:val="18"/>
                <w:szCs w:val="18"/>
                <w:color w:val="auto"/>
              </w:rPr>
              <w:t xml:space="preserve">Tax effects of adjustments and other tax items </w:t>
            </w:r>
            <w:r>
              <w:rPr>
                <w:rFonts w:ascii="Arial" w:cs="Arial" w:eastAsia="Arial" w:hAnsi="Arial"/>
                <w:sz w:val="24"/>
                <w:szCs w:val="24"/>
                <w:color w:val="auto"/>
                <w:vertAlign w:val="superscript"/>
              </w:rPr>
              <w:t>(3)</w:t>
            </w:r>
          </w:p>
        </w:tc>
        <w:tc>
          <w:tcPr>
            <w:tcW w:w="360" w:type="dxa"/>
            <w:vAlign w:val="bottom"/>
            <w:shd w:val="clear" w:color="auto" w:fill="CCECFF"/>
          </w:tcPr>
          <w:p>
            <w:pPr>
              <w:spacing w:after="0"/>
              <w:rPr>
                <w:sz w:val="21"/>
                <w:szCs w:val="21"/>
                <w:color w:val="auto"/>
              </w:rPr>
            </w:pPr>
          </w:p>
        </w:tc>
        <w:tc>
          <w:tcPr>
            <w:tcW w:w="24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(179.1 )</w:t>
            </w:r>
          </w:p>
        </w:tc>
      </w:tr>
      <w:tr>
        <w:trPr>
          <w:trHeight w:val="237"/>
        </w:trPr>
        <w:tc>
          <w:tcPr>
            <w:tcW w:w="844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Non-GAAP adjusted 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tcBorders>
              <w:top w:val="single" w:sz="8" w:color="CCECFF"/>
            </w:tcBorders>
          </w:tcPr>
          <w:p>
            <w:pPr>
              <w:spacing w:after="0"/>
              <w:rPr>
                <w:sz w:val="20"/>
                <w:szCs w:val="20"/>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23"/>
        </w:trPr>
        <w:tc>
          <w:tcPr>
            <w:tcW w:w="8440" w:type="dxa"/>
            <w:vAlign w:val="bottom"/>
            <w:shd w:val="clear" w:color="auto" w:fill="CCECFF"/>
          </w:tcPr>
          <w:p>
            <w:pPr>
              <w:ind w:left="20"/>
              <w:spacing w:after="0" w:line="224" w:lineRule="exact"/>
              <w:rPr>
                <w:sz w:val="20"/>
                <w:szCs w:val="20"/>
                <w:color w:val="auto"/>
              </w:rPr>
            </w:pPr>
            <w:r>
              <w:rPr>
                <w:rFonts w:ascii="Arial" w:cs="Arial" w:eastAsia="Arial" w:hAnsi="Arial"/>
                <w:sz w:val="18"/>
                <w:szCs w:val="18"/>
                <w:b w:val="1"/>
                <w:bCs w:val="1"/>
                <w:color w:val="auto"/>
              </w:rPr>
              <w:t xml:space="preserve">GAAP EPS, as reported </w:t>
            </w:r>
            <w:r>
              <w:rPr>
                <w:rFonts w:ascii="Arial" w:cs="Arial" w:eastAsia="Arial" w:hAnsi="Arial"/>
                <w:sz w:val="24"/>
                <w:szCs w:val="24"/>
                <w:b w:val="1"/>
                <w:bCs w:val="1"/>
                <w:color w:val="auto"/>
                <w:vertAlign w:val="superscript"/>
              </w:rPr>
              <w:t>(4)</w:t>
            </w:r>
          </w:p>
        </w:tc>
        <w:tc>
          <w:tcPr>
            <w:tcW w:w="360" w:type="dxa"/>
            <w:vAlign w:val="bottom"/>
            <w:tcBorders>
              <w:top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319"/>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 xml:space="preserve">Non-GAAP adjusted diluted EPS </w:t>
            </w:r>
            <w:r>
              <w:rPr>
                <w:rFonts w:ascii="Arial" w:cs="Arial" w:eastAsia="Arial" w:hAnsi="Arial"/>
                <w:sz w:val="24"/>
                <w:szCs w:val="24"/>
                <w:b w:val="1"/>
                <w:bCs w:val="1"/>
                <w:color w:val="auto"/>
                <w:vertAlign w:val="superscript"/>
              </w:rPr>
              <w:t>(5)</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-3682365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-544830</wp:posOffset>
            </wp:positionV>
            <wp:extent cx="685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7" w:lineRule="exact"/>
        <w:rPr>
          <w:sz w:val="20"/>
          <w:szCs w:val="20"/>
          <w:color w:val="auto"/>
        </w:rPr>
      </w:pPr>
    </w:p>
    <w:p>
      <w:pPr>
        <w:ind w:left="280" w:hanging="259"/>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interest expense.</w:t>
      </w:r>
    </w:p>
    <w:p>
      <w:pPr>
        <w:spacing w:after="0" w:line="36" w:lineRule="exact"/>
        <w:rPr>
          <w:rFonts w:ascii="Arial" w:cs="Arial" w:eastAsia="Arial" w:hAnsi="Arial"/>
          <w:sz w:val="18"/>
          <w:szCs w:val="18"/>
          <w:color w:val="auto"/>
        </w:rPr>
      </w:pPr>
    </w:p>
    <w:p>
      <w:pPr>
        <w:ind w:left="280" w:hanging="259"/>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income, net.</w:t>
      </w:r>
    </w:p>
    <w:p>
      <w:pPr>
        <w:spacing w:after="0" w:line="36" w:lineRule="exact"/>
        <w:rPr>
          <w:rFonts w:ascii="Arial" w:cs="Arial" w:eastAsia="Arial" w:hAnsi="Arial"/>
          <w:sz w:val="18"/>
          <w:szCs w:val="18"/>
          <w:color w:val="auto"/>
        </w:rPr>
      </w:pPr>
    </w:p>
    <w:p>
      <w:pPr>
        <w:ind w:left="20" w:right="300" w:firstLine="1"/>
        <w:spacing w:after="0" w:line="266"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rates applied to adjustments reflect the tax expense or benefit based on the tax jurisdiction of the entity generating the adjustment. There are certain items for which we expect little or no tax effect.</w:t>
      </w:r>
    </w:p>
    <w:p>
      <w:pPr>
        <w:ind w:left="20" w:right="240" w:firstLine="1"/>
        <w:spacing w:after="0" w:line="266"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all periods presented, GAAP EPS was calculated using net loss attributable to common stockholders in the numerator, which includes the impact of the Series A convertible preferred stock dividend.</w:t>
      </w:r>
    </w:p>
    <w:p>
      <w:pPr>
        <w:ind w:left="280" w:hanging="259"/>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shares used in the calculation of non-GAAP adjusted diluted EPS are 253.7 million for the three months ended September 30, 2023.</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 of GAAP Measures to Non-GAAP Adjusted Measures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In millions)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Core Segment Adjusted EBITDA</w:t>
      </w:r>
    </w:p>
    <w:p>
      <w:pPr>
        <w:spacing w:after="0" w:line="27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Outlook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13335</wp:posOffset>
            </wp:positionV>
            <wp:extent cx="151320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3205" cy="188595"/>
                    </a:xfrm>
                    <a:prstGeom prst="rect">
                      <a:avLst/>
                    </a:prstGeom>
                    <a:noFill/>
                  </pic:spPr>
                </pic:pic>
              </a:graphicData>
            </a:graphic>
          </wp:anchor>
        </w:drawing>
      </w:r>
    </w:p>
    <w:p>
      <w:pPr>
        <w:spacing w:after="0" w:line="34"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80" w:type="dxa"/>
            <w:vAlign w:val="bottom"/>
            <w:shd w:val="clear" w:color="auto" w:fill="CCECFF"/>
          </w:tcPr>
          <w:p>
            <w:pPr>
              <w:ind w:left="120"/>
              <w:spacing w:after="0" w:line="256" w:lineRule="exact"/>
              <w:rPr>
                <w:sz w:val="20"/>
                <w:szCs w:val="20"/>
                <w:color w:val="auto"/>
              </w:rPr>
            </w:pPr>
            <w:r>
              <w:rPr>
                <w:rFonts w:ascii="Arial" w:cs="Arial" w:eastAsia="Arial" w:hAnsi="Arial"/>
                <w:sz w:val="18"/>
                <w:szCs w:val="18"/>
                <w:b w:val="1"/>
                <w:bCs w:val="1"/>
                <w:color w:val="auto"/>
              </w:rPr>
              <w:t xml:space="preserve">Core segment operating income </w:t>
            </w:r>
            <w:r>
              <w:rPr>
                <w:rFonts w:ascii="Arial" w:cs="Arial" w:eastAsia="Arial" w:hAnsi="Arial"/>
                <w:sz w:val="24"/>
                <w:szCs w:val="24"/>
                <w:b w:val="1"/>
                <w:bCs w:val="1"/>
                <w:color w:val="auto"/>
                <w:vertAlign w:val="superscript"/>
              </w:rPr>
              <w:t>(1)</w:t>
            </w:r>
          </w:p>
        </w:tc>
        <w:tc>
          <w:tcPr>
            <w:tcW w:w="380" w:type="dxa"/>
            <w:vAlign w:val="bottom"/>
            <w:tcBorders>
              <w:top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top w:val="single" w:sz="8" w:color="auto"/>
            </w:tcBorders>
            <w:shd w:val="clear" w:color="auto" w:fill="CCECFF"/>
          </w:tcPr>
          <w:p>
            <w:pPr>
              <w:spacing w:after="0"/>
              <w:rPr>
                <w:sz w:val="22"/>
                <w:szCs w:val="22"/>
                <w:color w:val="auto"/>
              </w:rPr>
            </w:pPr>
          </w:p>
        </w:tc>
        <w:tc>
          <w:tcPr>
            <w:tcW w:w="380" w:type="dxa"/>
            <w:vAlign w:val="bottom"/>
            <w:tcBorders>
              <w:top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CFF"/>
          </w:tcPr>
          <w:p>
            <w:pPr>
              <w:spacing w:after="0"/>
              <w:rPr>
                <w:sz w:val="22"/>
                <w:szCs w:val="22"/>
                <w:color w:val="auto"/>
              </w:rPr>
            </w:pPr>
          </w:p>
        </w:tc>
      </w:tr>
      <w:tr>
        <w:trPr>
          <w:trHeight w:val="237"/>
        </w:trPr>
        <w:tc>
          <w:tcPr>
            <w:tcW w:w="888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8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CFF"/>
          </w:tcPr>
          <w:p>
            <w:pPr>
              <w:spacing w:after="0"/>
              <w:rPr>
                <w:sz w:val="21"/>
                <w:szCs w:val="21"/>
                <w:color w:val="auto"/>
              </w:rPr>
            </w:pPr>
          </w:p>
        </w:tc>
      </w:tr>
      <w:tr>
        <w:trPr>
          <w:trHeight w:val="237"/>
        </w:trPr>
        <w:tc>
          <w:tcPr>
            <w:tcW w:w="888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49"/>
        </w:trPr>
        <w:tc>
          <w:tcPr>
            <w:tcW w:w="88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net and transaction, transformation and integration costs</w:t>
            </w: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CFF"/>
          </w:tcPr>
          <w:p>
            <w:pPr>
              <w:spacing w:after="0"/>
              <w:rPr>
                <w:sz w:val="21"/>
                <w:szCs w:val="21"/>
                <w:color w:val="auto"/>
              </w:rPr>
            </w:pPr>
          </w:p>
        </w:tc>
      </w:tr>
      <w:tr>
        <w:trPr>
          <w:trHeight w:val="237"/>
        </w:trPr>
        <w:tc>
          <w:tcPr>
            <w:tcW w:w="8880" w:type="dxa"/>
            <w:vAlign w:val="bottom"/>
          </w:tcPr>
          <w:p>
            <w:pPr>
              <w:ind w:left="200"/>
              <w:spacing w:after="0"/>
              <w:rPr>
                <w:sz w:val="20"/>
                <w:szCs w:val="20"/>
                <w:color w:val="auto"/>
              </w:rPr>
            </w:pPr>
            <w:r>
              <w:rPr>
                <w:rFonts w:ascii="Arial" w:cs="Arial" w:eastAsia="Arial" w:hAnsi="Arial"/>
                <w:sz w:val="18"/>
                <w:szCs w:val="18"/>
                <w:color w:val="auto"/>
              </w:rPr>
              <w:t>Asset impairments</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9"/>
        </w:trPr>
        <w:tc>
          <w:tcPr>
            <w:tcW w:w="88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CFF"/>
          </w:tcPr>
          <w:p>
            <w:pPr>
              <w:spacing w:after="0"/>
              <w:rPr>
                <w:sz w:val="21"/>
                <w:szCs w:val="21"/>
                <w:color w:val="auto"/>
              </w:rPr>
            </w:pPr>
          </w:p>
        </w:tc>
      </w:tr>
      <w:tr>
        <w:trPr>
          <w:trHeight w:val="237"/>
        </w:trPr>
        <w:tc>
          <w:tcPr>
            <w:tcW w:w="888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3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3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49"/>
        </w:trPr>
        <w:tc>
          <w:tcPr>
            <w:tcW w:w="88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Cyber incident costs</w:t>
            </w: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CFF"/>
          </w:tcPr>
          <w:p>
            <w:pPr>
              <w:spacing w:after="0"/>
              <w:rPr>
                <w:sz w:val="21"/>
                <w:szCs w:val="21"/>
                <w:color w:val="auto"/>
              </w:rPr>
            </w:pPr>
          </w:p>
        </w:tc>
      </w:tr>
      <w:tr>
        <w:trPr>
          <w:trHeight w:val="237"/>
        </w:trPr>
        <w:tc>
          <w:tcPr>
            <w:tcW w:w="8880" w:type="dxa"/>
            <w:vAlign w:val="bottom"/>
          </w:tcPr>
          <w:p>
            <w:pPr>
              <w:ind w:left="200"/>
              <w:spacing w:after="0"/>
              <w:rPr>
                <w:sz w:val="20"/>
                <w:szCs w:val="20"/>
                <w:color w:val="auto"/>
              </w:rPr>
            </w:pPr>
            <w:r>
              <w:rPr>
                <w:rFonts w:ascii="Arial" w:cs="Arial" w:eastAsia="Arial" w:hAnsi="Arial"/>
                <w:sz w:val="18"/>
                <w:szCs w:val="18"/>
                <w:color w:val="auto"/>
              </w:rPr>
              <w:t>Recovery of Russian accounts receivable</w:t>
            </w:r>
          </w:p>
        </w:tc>
        <w:tc>
          <w:tcPr>
            <w:tcW w:w="3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3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49"/>
        </w:trPr>
        <w:tc>
          <w:tcPr>
            <w:tcW w:w="88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7"/>
        </w:trPr>
        <w:tc>
          <w:tcPr>
            <w:tcW w:w="8880" w:type="dxa"/>
            <w:vAlign w:val="bottom"/>
          </w:tcPr>
          <w:p>
            <w:pPr>
              <w:ind w:left="300"/>
              <w:spacing w:after="0" w:line="236" w:lineRule="exact"/>
              <w:rPr>
                <w:sz w:val="20"/>
                <w:szCs w:val="20"/>
                <w:color w:val="auto"/>
              </w:rPr>
            </w:pPr>
            <w:r>
              <w:rPr>
                <w:rFonts w:ascii="Arial" w:cs="Arial" w:eastAsia="Arial" w:hAnsi="Arial"/>
                <w:sz w:val="18"/>
                <w:szCs w:val="18"/>
                <w:color w:val="auto"/>
              </w:rPr>
              <w:t xml:space="preserve">Total adjustments to core operating income </w:t>
            </w:r>
            <w:r>
              <w:rPr>
                <w:rFonts w:ascii="Arial" w:cs="Arial" w:eastAsia="Arial" w:hAnsi="Arial"/>
                <w:sz w:val="24"/>
                <w:szCs w:val="24"/>
                <w:color w:val="auto"/>
                <w:vertAlign w:val="superscript"/>
              </w:rPr>
              <w:t>(1)</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r>
      <w:tr>
        <w:trPr>
          <w:trHeight w:val="276"/>
        </w:trPr>
        <w:tc>
          <w:tcPr>
            <w:tcW w:w="88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b w:val="1"/>
                <w:bCs w:val="1"/>
                <w:color w:val="auto"/>
              </w:rPr>
              <w:t>Core segment adjusted EBITDA</w:t>
            </w:r>
          </w:p>
        </w:tc>
        <w:tc>
          <w:tcPr>
            <w:tcW w:w="380" w:type="dxa"/>
            <w:vAlign w:val="bottom"/>
            <w:tcBorders>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1,050</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-350520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814705" cy="103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10375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“Core” financial measures reflect the results of the CCS, NICS, OWN and ANS segments, in the aggregate, and exclude the results of the Home segment.</w:t>
      </w:r>
    </w:p>
    <w:p>
      <w:pPr>
        <w:spacing w:after="0" w:line="275" w:lineRule="exact"/>
        <w:rPr>
          <w:sz w:val="20"/>
          <w:szCs w:val="20"/>
          <w:color w:val="auto"/>
        </w:rPr>
      </w:pPr>
    </w:p>
    <w:p>
      <w:pPr>
        <w:ind w:left="20" w:right="440"/>
        <w:spacing w:after="0" w:line="328" w:lineRule="auto"/>
        <w:rPr>
          <w:sz w:val="20"/>
          <w:szCs w:val="20"/>
          <w:color w:val="auto"/>
        </w:rPr>
      </w:pPr>
      <w:r>
        <w:rPr>
          <w:rFonts w:ascii="Arial" w:cs="Arial" w:eastAsia="Arial" w:hAnsi="Arial"/>
          <w:sz w:val="15"/>
          <w:szCs w:val="15"/>
          <w:color w:val="auto"/>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"Forward-Looking Statements" and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2023-10-30T07:25:29Z</dcterms:created>
  <dcterms:modified xsi:type="dcterms:W3CDTF">2023-10-30T07:25:29Z</dcterms:modified>
</cp:coreProperties>
</file>