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visn-20260804.htm"/>
      <w:bookmarkStart w:id="1" w:name="ksvisn20260804"/>
      <w:bookmarkEnd w:id="0"/>
      <w:bookmarkEnd w:id="1"/>
      <w:r>
        <w:rPr/>
        <w:t> </w:t>
      </w:r>
    </w:p>
    <w:p>
      <w:pPr>
        <w:pStyle w:val="TextBody"/>
        <w:pBdr>
          <w:top w:val="double" w:sz="4" w:space="1" w:color="000000"/>
        </w:pBdr>
        <w:bidi w:val="0"/>
        <w:jc w:val="left"/>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sz w:val="20"/>
        </w:rPr>
      </w:pPr>
      <w:r>
        <w:rPr>
          <w:rFonts w:ascii="Times New Roman" w:hAnsi="Times New Roman"/>
          <w:b/>
          <w:color w:val="000000"/>
          <w:sz w:val="24"/>
        </w:rPr>
        <w:t>WASHINGTON, D.C. 20549</w:t>
      </w:r>
      <w:r>
        <w:rPr>
          <w:rFonts w:ascii="Times New Roman" w:hAnsi="Times New Roman"/>
          <w:color w:val="000000"/>
          <w:sz w:val="20"/>
        </w:rPr>
        <w:t xml:space="preserve"> </w:t>
      </w:r>
    </w:p>
    <w:p>
      <w:pPr>
        <w:pStyle w:val="TextBody"/>
        <w:pBdr>
          <w:bottom w:val="single" w:sz="8" w:space="1" w:color="000000"/>
        </w:pBdr>
        <w:bidi w:val="0"/>
        <w:spacing w:before="120" w:after="283"/>
        <w:jc w:val="center"/>
        <w:rPr/>
      </w:pPr>
      <w:r>
        <w:rPr/>
        <w:t> </w:t>
      </w:r>
    </w:p>
    <w:p>
      <w:pPr>
        <w:pStyle w:val="TextBody"/>
        <w:bidi w:val="0"/>
        <w:spacing w:before="60" w:after="283"/>
        <w:jc w:val="center"/>
        <w:rPr>
          <w:rFonts w:ascii="Times New Roman" w:hAnsi="Times New Roman"/>
          <w:sz w:val="20"/>
        </w:rPr>
      </w:pPr>
      <w:r>
        <w:rPr>
          <w:rFonts w:ascii="Times New Roman" w:hAnsi="Times New Roman"/>
          <w:b/>
          <w:color w:val="000000"/>
          <w:sz w:val="36"/>
        </w:rPr>
        <w:t>FORM 8-K</w:t>
      </w:r>
      <w:r>
        <w:rPr>
          <w:rFonts w:ascii="Times New Roman" w:hAnsi="Times New Roman"/>
          <w:color w:val="000000"/>
          <w:sz w:val="20"/>
        </w:rPr>
        <w:t xml:space="preserve"> </w:t>
      </w:r>
    </w:p>
    <w:p>
      <w:pPr>
        <w:pStyle w:val="TextBody"/>
        <w:pBdr>
          <w:bottom w:val="single" w:sz="8" w:space="1" w:color="000000"/>
        </w:pBdr>
        <w:bidi w:val="0"/>
        <w:spacing w:before="60" w:after="283"/>
        <w:jc w:val="center"/>
        <w:rPr/>
      </w:pPr>
      <w:r>
        <w:rPr/>
        <w:t> </w:t>
      </w:r>
    </w:p>
    <w:p>
      <w:pPr>
        <w:pStyle w:val="TextBody"/>
        <w:bidi w:val="0"/>
        <w:spacing w:before="60" w:after="283"/>
        <w:jc w:val="center"/>
        <w:rPr>
          <w:rFonts w:ascii="Times New Roman" w:hAnsi="Times New Roman"/>
          <w:sz w:val="20"/>
        </w:rPr>
      </w:pPr>
      <w:r>
        <w:rPr>
          <w:rFonts w:ascii="Times New Roman" w:hAnsi="Times New Roman"/>
          <w:b/>
          <w:color w:val="000000"/>
          <w:sz w:val="24"/>
        </w:rPr>
        <w:t>CURRENT REPORT</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r>
        <w:rPr>
          <w:rFonts w:ascii="Times New Roman" w:hAnsi="Times New Roman"/>
          <w:b/>
          <w:color w:val="000000"/>
          <w:sz w:val="24"/>
        </w:rPr>
        <w:t>Pursuant to Section 13 or 15(d) of the Securities Exchange Act of 1934</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r>
        <w:rPr>
          <w:rFonts w:ascii="Times New Roman" w:hAnsi="Times New Roman"/>
          <w:b/>
          <w:color w:val="000000"/>
          <w:sz w:val="20"/>
        </w:rPr>
        <w:t>Date of Report (Date of earliest event reported): August 4, 2026</w:t>
      </w:r>
      <w:r>
        <w:rPr>
          <w:rFonts w:ascii="Times New Roman" w:hAnsi="Times New Roman"/>
          <w:color w:val="000000"/>
          <w:sz w:val="20"/>
        </w:rPr>
        <w:t xml:space="preserve"> </w:t>
      </w:r>
    </w:p>
    <w:p>
      <w:pPr>
        <w:pStyle w:val="TextBody"/>
        <w:bidi w:val="0"/>
        <w:spacing w:before="60" w:after="283"/>
        <w:jc w:val="center"/>
        <w:rPr>
          <w:rFonts w:ascii="Times New Roman" w:hAnsi="Times New Roman"/>
          <w:b/>
          <w:color w:val="000000"/>
          <w:sz w:val="36"/>
        </w:rPr>
      </w:pPr>
      <w:r>
        <w:rPr>
          <w:rFonts w:ascii="Times New Roman" w:hAnsi="Times New Roman"/>
          <w:b/>
          <w:color w:val="000000"/>
          <w:sz w:val="36"/>
        </w:rPr>
        <w:t>Vistance Networks, Inc.</w:t>
      </w:r>
    </w:p>
    <w:p>
      <w:pPr>
        <w:pStyle w:val="TextBody"/>
        <w:bidi w:val="0"/>
        <w:jc w:val="center"/>
        <w:rPr>
          <w:rFonts w:ascii="Times New Roman" w:hAnsi="Times New Roman"/>
          <w:sz w:val="20"/>
        </w:rPr>
      </w:pPr>
      <w:r>
        <w:rPr>
          <w:rFonts w:ascii="Times New Roman" w:hAnsi="Times New Roman"/>
          <w:b/>
          <w:color w:val="000000"/>
          <w:sz w:val="16"/>
        </w:rPr>
        <w:t>(Exact name of Registrant as Specified in Its Charter)</w:t>
      </w:r>
      <w:r>
        <w:rPr>
          <w:rFonts w:ascii="Times New Roman" w:hAnsi="Times New Roman"/>
          <w:color w:val="000000"/>
          <w:sz w:val="20"/>
        </w:rPr>
        <w:t xml:space="preserve"> </w:t>
      </w:r>
    </w:p>
    <w:p>
      <w:pPr>
        <w:pStyle w:val="TextBody"/>
        <w:bidi w:val="0"/>
        <w:jc w:val="left"/>
        <w:rPr/>
      </w:pPr>
      <w:r>
        <w:rPr/>
        <w:t> </w:t>
      </w:r>
    </w:p>
    <w:tbl>
      <w:tblPr>
        <w:tblW w:w="6543" w:type="dxa"/>
        <w:jc w:val="left"/>
        <w:tblInd w:w="0" w:type="dxa"/>
        <w:tblLayout w:type="fixed"/>
        <w:tblCellMar>
          <w:top w:w="28" w:type="dxa"/>
          <w:left w:w="28" w:type="dxa"/>
          <w:bottom w:w="28" w:type="dxa"/>
          <w:right w:w="28" w:type="dxa"/>
        </w:tblCellMar>
      </w:tblPr>
      <w:tblGrid>
        <w:gridCol w:w="3016"/>
        <w:gridCol w:w="2041"/>
        <w:gridCol w:w="1486"/>
      </w:tblGrid>
      <w:tr>
        <w:trPr/>
        <w:tc>
          <w:tcPr>
            <w:tcW w:w="3016"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30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20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001-36146</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27-4332098</w:t>
            </w:r>
          </w:p>
        </w:tc>
      </w:tr>
      <w:tr>
        <w:trPr/>
        <w:tc>
          <w:tcPr>
            <w:tcW w:w="301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(State or Other Jurisdiction</w:t>
            </w:r>
          </w:p>
          <w:p>
            <w:pPr>
              <w:pStyle w:val="TableContents"/>
              <w:bidi w:val="0"/>
              <w:spacing w:before="0" w:after="15"/>
              <w:jc w:val="center"/>
              <w:rPr>
                <w:rFonts w:ascii="Times New Roman" w:hAnsi="Times New Roman"/>
                <w:b/>
                <w:color w:val="000000"/>
                <w:sz w:val="16"/>
              </w:rPr>
            </w:pPr>
            <w:r>
              <w:rPr>
                <w:rFonts w:ascii="Times New Roman" w:hAnsi="Times New Roman"/>
                <w:b/>
                <w:color w:val="000000"/>
                <w:sz w:val="16"/>
              </w:rPr>
              <w:t>of Incorporation)</w:t>
            </w:r>
          </w:p>
        </w:tc>
        <w:tc>
          <w:tcPr>
            <w:tcW w:w="20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(Commission File Number)</w:t>
            </w:r>
          </w:p>
        </w:tc>
        <w:tc>
          <w:tcPr>
            <w:tcW w:w="148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(IRS Employer</w:t>
            </w:r>
          </w:p>
          <w:p>
            <w:pPr>
              <w:pStyle w:val="TableContents"/>
              <w:bidi w:val="0"/>
              <w:spacing w:before="0" w:after="15"/>
              <w:jc w:val="center"/>
              <w:rPr>
                <w:rFonts w:ascii="Times New Roman" w:hAnsi="Times New Roman"/>
                <w:b/>
                <w:color w:val="000000"/>
                <w:sz w:val="16"/>
              </w:rPr>
            </w:pPr>
            <w:r>
              <w:rPr>
                <w:rFonts w:ascii="Times New Roman" w:hAnsi="Times New Roman"/>
                <w:b/>
                <w:color w:val="000000"/>
                <w:sz w:val="16"/>
              </w:rPr>
              <w:t>Identification No.)</w:t>
            </w:r>
          </w:p>
        </w:tc>
      </w:tr>
      <w:tr>
        <w:trPr/>
        <w:tc>
          <w:tcPr>
            <w:tcW w:w="3016" w:type="dxa"/>
            <w:tcBorders/>
            <w:tcMar>
              <w:top w:w="0" w:type="dxa"/>
              <w:left w:w="0" w:type="dxa"/>
              <w:bottom w:w="0" w:type="dxa"/>
              <w:right w:w="0" w:type="dxa"/>
            </w:tcMar>
            <w:vAlign w:val="center"/>
          </w:tcPr>
          <w:p>
            <w:pPr>
              <w:pStyle w:val="TableContents"/>
              <w:bidi w:val="0"/>
              <w:spacing w:before="0" w:after="283"/>
              <w:jc w:val="left"/>
              <w:rPr/>
            </w:pPr>
            <w:r>
              <w:rPr/>
              <w:t> </w:t>
            </w:r>
          </w:p>
        </w:tc>
        <w:tc>
          <w:tcPr>
            <w:tcW w:w="20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01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2601 Telecom Parkway</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Richardson, Texas</w:t>
            </w:r>
          </w:p>
        </w:tc>
        <w:tc>
          <w:tcPr>
            <w:tcW w:w="20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75082</w:t>
            </w:r>
          </w:p>
        </w:tc>
      </w:tr>
      <w:tr>
        <w:trPr/>
        <w:tc>
          <w:tcPr>
            <w:tcW w:w="30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(Address of Principal Executive Offices)</w:t>
            </w:r>
          </w:p>
        </w:tc>
        <w:tc>
          <w:tcPr>
            <w:tcW w:w="20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(Zip Code)</w:t>
            </w:r>
          </w:p>
        </w:tc>
      </w:tr>
    </w:tbl>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20"/>
        </w:rPr>
        <w:t>Registrant’s Telephone Number, Including Area Code: (972)</w:t>
      </w:r>
      <w:r>
        <w:rPr>
          <w:rFonts w:ascii="Times New Roman" w:hAnsi="Times New Roman"/>
          <w:color w:val="000000"/>
          <w:sz w:val="20"/>
        </w:rPr>
        <w:t xml:space="preserve"> </w:t>
      </w:r>
      <w:r>
        <w:rPr>
          <w:rFonts w:ascii="Times New Roman" w:hAnsi="Times New Roman"/>
          <w:b/>
          <w:color w:val="000000"/>
          <w:sz w:val="20"/>
        </w:rPr>
        <w:t>952-9700</w:t>
      </w:r>
    </w:p>
    <w:p>
      <w:pPr>
        <w:pStyle w:val="TextBody"/>
        <w:bidi w:val="0"/>
        <w:spacing w:before="120" w:after="283"/>
        <w:jc w:val="center"/>
        <w:rPr>
          <w:rFonts w:ascii="Times New Roman" w:hAnsi="Times New Roman"/>
          <w:b/>
          <w:color w:val="000000"/>
          <w:sz w:val="24"/>
        </w:rPr>
      </w:pPr>
      <w:r>
        <w:rPr>
          <w:rFonts w:ascii="Times New Roman" w:hAnsi="Times New Roman"/>
          <w:b/>
          <w:color w:val="000000"/>
          <w:sz w:val="24"/>
        </w:rPr>
        <w:t>Not Applicable</w:t>
      </w:r>
    </w:p>
    <w:p>
      <w:pPr>
        <w:pStyle w:val="TextBody"/>
        <w:bidi w:val="0"/>
        <w:spacing w:before="2" w:after="283"/>
        <w:jc w:val="center"/>
        <w:rPr>
          <w:rFonts w:ascii="Times New Roman" w:hAnsi="Times New Roman"/>
          <w:color w:val="000000"/>
          <w:sz w:val="18"/>
        </w:rPr>
      </w:pPr>
      <w:r>
        <w:rPr>
          <w:rFonts w:ascii="Times New Roman" w:hAnsi="Times New Roman"/>
          <w:color w:val="000000"/>
          <w:sz w:val="18"/>
        </w:rPr>
        <w:t>(Former name or former address, if changed since last report.)</w:t>
      </w:r>
    </w:p>
    <w:p>
      <w:pPr>
        <w:pStyle w:val="TextBody"/>
        <w:bidi w:val="0"/>
        <w:jc w:val="left"/>
        <w:rPr/>
      </w:pPr>
      <w:r>
        <w:rPr/>
        <w:t> </w:t>
      </w:r>
    </w:p>
    <w:p>
      <w:pPr>
        <w:pStyle w:val="TextBody"/>
        <w:pBdr>
          <w:bottom w:val="single" w:sz="8" w:space="1" w:color="000000"/>
        </w:pBdr>
        <w:bidi w:val="0"/>
        <w:spacing w:before="80" w:after="283"/>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(see General Instructions A.2. below): </w:t>
      </w:r>
    </w:p>
    <w:p>
      <w:pPr>
        <w:pStyle w:val="TextBody"/>
        <w:bidi w:val="0"/>
        <w:jc w:val="left"/>
        <w:rPr/>
      </w:pPr>
      <w:r>
        <w:rPr/>
        <w:t> </w:t>
      </w:r>
    </w:p>
    <w:tbl>
      <w:tblPr>
        <w:tblW w:w="9557" w:type="dxa"/>
        <w:jc w:val="left"/>
        <w:tblInd w:w="0" w:type="dxa"/>
        <w:tblLayout w:type="fixed"/>
        <w:tblCellMar>
          <w:top w:w="28" w:type="dxa"/>
          <w:left w:w="28" w:type="dxa"/>
          <w:bottom w:w="28" w:type="dxa"/>
          <w:right w:w="28" w:type="dxa"/>
        </w:tblCellMar>
      </w:tblPr>
      <w:tblGrid>
        <w:gridCol w:w="331"/>
        <w:gridCol w:w="9226"/>
      </w:tblGrid>
      <w:tr>
        <w:trPr/>
        <w:tc>
          <w:tcPr>
            <w:tcW w:w="331" w:type="dxa"/>
            <w:tcBorders/>
            <w:vAlign w:val="center"/>
          </w:tcPr>
          <w:p>
            <w:pPr>
              <w:pStyle w:val="TableContents"/>
              <w:bidi w:val="0"/>
              <w:spacing w:before="0" w:after="283"/>
              <w:jc w:val="left"/>
              <w:rPr>
                <w:sz w:val="4"/>
                <w:szCs w:val="4"/>
              </w:rPr>
            </w:pPr>
            <w:r>
              <w:rPr>
                <w:sz w:val="4"/>
                <w:szCs w:val="4"/>
              </w:rPr>
            </w:r>
          </w:p>
        </w:tc>
        <w:tc>
          <w:tcPr>
            <w:tcW w:w="9226"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Written communications pursuant to Rule 425 under the Securities Act (17 CFR 230.425) </w:t>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22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 xml:space="preserve">Soliciting material pursuant to Rule 14a-12 under the Exchange Act (17 CFR 240.14a-12) </w:t>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22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 xml:space="preserve">Pre-commencement communications pursuant to Rule 14d-2(b) under the Exchange Act (17 CFR 240.14d-2(b)) </w:t>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22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Pre-commencement communications pursuant to Rule 13e-4(c) under the Exchange Act (17 CFR 240.13e-4(c))</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Securities registered pursuant to Section 12(b) of the Act:</w:t>
      </w:r>
    </w:p>
    <w:p>
      <w:pPr>
        <w:pStyle w:val="TextBody"/>
        <w:bidi w:val="0"/>
        <w:jc w:val="left"/>
        <w:rPr/>
      </w:pPr>
      <w:r>
        <w:rPr/>
        <w:t> </w:t>
      </w:r>
    </w:p>
    <w:tbl>
      <w:tblPr>
        <w:tblW w:w="7540" w:type="dxa"/>
        <w:jc w:val="left"/>
        <w:tblInd w:w="0" w:type="dxa"/>
        <w:tblLayout w:type="fixed"/>
        <w:tblCellMar>
          <w:top w:w="28" w:type="dxa"/>
          <w:left w:w="28" w:type="dxa"/>
          <w:bottom w:w="28" w:type="dxa"/>
          <w:right w:w="28" w:type="dxa"/>
        </w:tblCellMar>
      </w:tblPr>
      <w:tblGrid>
        <w:gridCol w:w="3106"/>
        <w:gridCol w:w="146"/>
        <w:gridCol w:w="826"/>
        <w:gridCol w:w="146"/>
        <w:gridCol w:w="3316"/>
      </w:tblGrid>
      <w:tr>
        <w:trPr/>
        <w:tc>
          <w:tcPr>
            <w:tcW w:w="31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10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1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Common Stock, par value $0.01 per share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VISN</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The NASDAQ Stock Market</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Emerging growth company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pBdr>
          <w:bottom w:val="double" w:sz="4" w:space="1" w:color="000000"/>
        </w:pBdr>
        <w:bidi w:val="0"/>
        <w:jc w:val="left"/>
        <w:rPr/>
      </w:pPr>
      <w:r>
        <w:rPr/>
        <w:t> </w:t>
      </w:r>
    </w:p>
    <w:p>
      <w:pPr>
        <w:pStyle w:val="TextBody"/>
        <w:bidi w:val="0"/>
        <w:jc w:val="left"/>
        <w:rPr/>
      </w:pPr>
      <w:r>
        <w:rPr/>
        <w:t> </w:t>
      </w:r>
    </w:p>
    <w:p>
      <w:pPr>
        <w:pStyle w:val="TextBody"/>
        <w:bidi w:val="0"/>
        <w:jc w:val="righ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Item 5.02. Departure of Directors or Certain Officers; Election of Directors; Appointment of Certain Officers; Compensatory Arrangements of Certain Officers.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August 4, 2026, Joanne M. Maguire notified the Board of Directors of Vistance Networks, Inc. (the “Company”) that she will be retiring as a director of the Company, effective immediately. Ms. Maguire’s decision to retire was not because of any disagreement with the Company, management or the Board of Directors. As a result of Ms. Maguire’s retirement, the size of the Board of Directors was reduced to seven members and Thomas J. Manning, a current director of the Company, was appointed to the Nominating &amp; Corporate Governance Committee of the Board of Directors.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Item 8.01. Other Events.</w:t>
      </w:r>
    </w:p>
    <w:p>
      <w:pPr>
        <w:pStyle w:val="TextBody"/>
        <w:bidi w:val="0"/>
        <w:spacing w:before="120" w:after="160"/>
        <w:jc w:val="left"/>
        <w:rPr>
          <w:rFonts w:ascii="Times New Roman" w:hAnsi="Times New Roman"/>
          <w:color w:val="000000"/>
          <w:sz w:val="20"/>
        </w:rPr>
      </w:pPr>
      <w:r>
        <w:rPr>
          <w:rFonts w:ascii="Times New Roman" w:hAnsi="Times New Roman"/>
          <w:color w:val="000000"/>
          <w:sz w:val="20"/>
        </w:rPr>
        <w:t>On August 6, 2026, Vistance Networks, Inc. (the “Company”) announced in a press release that its Board of Directors has declared the payment of a one-time special cash distribution (the “Special Distribution”). The Special Distribution of $5.00 per share will be paid on August 27, 2026, to stockholders of record of the Company at the close of business on August 17, 2026. Pursuant to Nasdaq Rule 11140(b)(2), since the amount of the Special Distribution will be 25% or greater of the value of the Company’s common stock, the ex-dividend date shall be August 28, 2026, the first business day following the payment date. A copy of the press release announcing the Special Distribution is attached hereto as Exhibit 99.1.</w:t>
      </w:r>
    </w:p>
    <w:p>
      <w:pPr>
        <w:pStyle w:val="TextBody"/>
        <w:bidi w:val="0"/>
        <w:spacing w:before="200" w:after="160"/>
        <w:jc w:val="left"/>
        <w:rPr>
          <w:rFonts w:ascii="Times New Roman" w:hAnsi="Times New Roman"/>
          <w:b/>
          <w:i/>
          <w:color w:val="000000"/>
          <w:sz w:val="20"/>
        </w:rPr>
      </w:pPr>
      <w:r>
        <w:rPr>
          <w:rFonts w:ascii="Times New Roman" w:hAnsi="Times New Roman"/>
          <w:b/>
          <w:i/>
          <w:color w:val="000000"/>
          <w:sz w:val="20"/>
        </w:rPr>
        <w:t>U.S. Federal Tax Treatment of the Special Distribution</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The Company does not believe it has a meaningful amount of current and accumulated “earnings and profits.” As such, the Company currently expects that, for U.S. federal income tax purposes, the Special Distribution will be treated, first, as a return of capital to shareholders to the extent of their tax basis in their Company stock, and, thereafter, as capital gain from the sale or exchange of Company stock.</w:t>
      </w:r>
    </w:p>
    <w:p>
      <w:pPr>
        <w:pStyle w:val="TextBody"/>
        <w:bidi w:val="0"/>
        <w:spacing w:before="80" w:after="160"/>
        <w:jc w:val="left"/>
        <w:rPr>
          <w:rFonts w:ascii="Times New Roman" w:hAnsi="Times New Roman"/>
          <w:color w:val="000000"/>
          <w:sz w:val="20"/>
        </w:rPr>
      </w:pPr>
      <w:r>
        <w:rPr>
          <w:rFonts w:ascii="Times New Roman" w:hAnsi="Times New Roman"/>
          <w:color w:val="000000"/>
          <w:sz w:val="20"/>
        </w:rPr>
        <w:t>The expected tax treatment of the Special Distribution is based upon currently available information and is subject to change. To the extent the Company has current or accumulated earnings and profits, as determined under U.S. federal income tax principles, the Special Distribution will be treated as a dividend.</w:t>
      </w:r>
    </w:p>
    <w:p>
      <w:pPr>
        <w:pStyle w:val="TextBody"/>
        <w:bidi w:val="0"/>
        <w:spacing w:before="80" w:after="160"/>
        <w:jc w:val="left"/>
        <w:rPr>
          <w:rFonts w:ascii="Times New Roman" w:hAnsi="Times New Roman"/>
          <w:color w:val="000000"/>
          <w:sz w:val="20"/>
        </w:rPr>
      </w:pPr>
      <w:r>
        <w:rPr>
          <w:rFonts w:ascii="Times New Roman" w:hAnsi="Times New Roman"/>
          <w:color w:val="000000"/>
          <w:sz w:val="20"/>
        </w:rPr>
        <w:t>Within forty-five days following the Special Distribution, the Company will prepare and file in accordance with Treasury Regulations (including by posting a copy on the investor relations section of its website) an IRS Form 8937 reflecting the tax treatment of the Special Distribution, which may be based on available estimates and updated following a final determination.</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The information set forth above is provided only for general use and does not constitute a complete description of all of the U.S. federal or other tax consequences of the Special Distribution. Shareholders should consult their own tax advisors concerning such consequences.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Item 9.01. Financial Statements and Exhibits.</w:t>
      </w:r>
    </w:p>
    <w:p>
      <w:pPr>
        <w:pStyle w:val="TextBody"/>
        <w:bidi w:val="0"/>
        <w:jc w:val="left"/>
        <w:rPr/>
      </w:pPr>
      <w:r>
        <w:rPr/>
        <w:t> </w:t>
      </w:r>
    </w:p>
    <w:tbl>
      <w:tblPr>
        <w:tblW w:w="7483" w:type="dxa"/>
        <w:jc w:val="left"/>
        <w:tblInd w:w="0" w:type="dxa"/>
        <w:tblLayout w:type="fixed"/>
        <w:tblCellMar>
          <w:top w:w="28" w:type="dxa"/>
          <w:left w:w="28" w:type="dxa"/>
          <w:bottom w:w="28" w:type="dxa"/>
          <w:right w:w="28" w:type="dxa"/>
        </w:tblCellMar>
      </w:tblPr>
      <w:tblGrid>
        <w:gridCol w:w="691"/>
        <w:gridCol w:w="146"/>
        <w:gridCol w:w="6646"/>
      </w:tblGrid>
      <w:tr>
        <w:trPr/>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46" w:type="dxa"/>
            <w:tcBorders/>
            <w:vAlign w:val="center"/>
          </w:tcPr>
          <w:p>
            <w:pPr>
              <w:pStyle w:val="TableContents"/>
              <w:bidi w:val="0"/>
              <w:spacing w:before="0" w:after="283"/>
              <w:jc w:val="left"/>
              <w:rPr>
                <w:sz w:val="4"/>
                <w:szCs w:val="4"/>
              </w:rPr>
            </w:pPr>
            <w:r>
              <w:rPr>
                <w:sz w:val="4"/>
                <w:szCs w:val="4"/>
              </w:rPr>
            </w:r>
          </w:p>
        </w:tc>
      </w:tr>
      <w:tr>
        <w:trPr/>
        <w:tc>
          <w:tcPr>
            <w:tcW w:w="6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Exhibit.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Description.</w:t>
            </w:r>
          </w:p>
        </w:tc>
      </w:tr>
      <w:tr>
        <w:trPr/>
        <w:tc>
          <w:tcPr>
            <w:tcW w:w="6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46" w:type="dxa"/>
            <w:tcBorders/>
            <w:tcMar>
              <w:top w:w="0" w:type="dxa"/>
              <w:left w:w="0" w:type="dxa"/>
              <w:bottom w:w="0" w:type="dxa"/>
              <w:right w:w="0" w:type="dxa"/>
            </w:tcMar>
            <w:vAlign w:val="center"/>
          </w:tcPr>
          <w:p>
            <w:pPr>
              <w:pStyle w:val="TableContents"/>
              <w:bidi w:val="0"/>
              <w:spacing w:before="0" w:after="283"/>
              <w:jc w:val="left"/>
              <w:rPr/>
            </w:pPr>
            <w:hyperlink w:anchor="visn-ex99_1.htm">
              <w:r>
                <w:rPr>
                  <w:rStyle w:val="InternetLink"/>
                  <w:rFonts w:ascii="Times New Roman" w:hAnsi="Times New Roman"/>
                  <w:color w:val="0000FF"/>
                  <w:sz w:val="20"/>
                  <w:u w:val="single"/>
                </w:rPr>
                <w:t>Vistance Networks, Inc. press release, dated August 6, 2026</w:t>
              </w:r>
            </w:hyperlink>
            <w:r>
              <w:rPr>
                <w:rFonts w:ascii="Times New Roman" w:hAnsi="Times New Roman"/>
                <w:color w:val="000000"/>
                <w:sz w:val="20"/>
              </w:rPr>
              <w:t xml:space="preserve"> </w:t>
            </w:r>
          </w:p>
        </w:tc>
      </w:tr>
      <w:tr>
        <w:trPr/>
        <w:tc>
          <w:tcPr>
            <w:tcW w:w="6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spacing w:before="100" w:after="283"/>
        <w:jc w:val="left"/>
        <w:rPr/>
      </w:pPr>
      <w:r>
        <w:rPr/>
        <w:t> </w:t>
      </w:r>
    </w:p>
    <w:p>
      <w:pPr>
        <w:pStyle w:val="TextBody"/>
        <w:bidi w:val="0"/>
        <w:jc w:val="righ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SIGNATURES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p>
      <w:pPr>
        <w:pStyle w:val="TextBody"/>
        <w:bidi w:val="0"/>
        <w:jc w:val="both"/>
        <w:rPr/>
      </w:pPr>
      <w:r>
        <w:rPr/>
        <w:t> </w:t>
      </w:r>
    </w:p>
    <w:tbl>
      <w:tblPr>
        <w:tblW w:w="5715" w:type="dxa"/>
        <w:jc w:val="left"/>
        <w:tblInd w:w="0" w:type="dxa"/>
        <w:tblLayout w:type="fixed"/>
        <w:tblCellMar>
          <w:top w:w="28" w:type="dxa"/>
          <w:left w:w="28" w:type="dxa"/>
          <w:bottom w:w="28" w:type="dxa"/>
          <w:right w:w="28" w:type="dxa"/>
        </w:tblCellMar>
      </w:tblPr>
      <w:tblGrid>
        <w:gridCol w:w="1951"/>
        <w:gridCol w:w="146"/>
        <w:gridCol w:w="406"/>
        <w:gridCol w:w="631"/>
        <w:gridCol w:w="2581"/>
      </w:tblGrid>
      <w:tr>
        <w:trPr/>
        <w:tc>
          <w:tcPr>
            <w:tcW w:w="19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581" w:type="dxa"/>
            <w:tcBorders/>
            <w:vAlign w:val="center"/>
          </w:tcPr>
          <w:p>
            <w:pPr>
              <w:pStyle w:val="TableContents"/>
              <w:bidi w:val="0"/>
              <w:spacing w:before="0" w:after="283"/>
              <w:jc w:val="left"/>
              <w:rPr>
                <w:sz w:val="4"/>
                <w:szCs w:val="4"/>
              </w:rPr>
            </w:pPr>
            <w:r>
              <w:rPr>
                <w:sz w:val="4"/>
                <w:szCs w:val="4"/>
              </w:rPr>
            </w:r>
          </w:p>
        </w:tc>
      </w:tr>
      <w:tr>
        <w:trPr/>
        <w:tc>
          <w:tcPr>
            <w:tcW w:w="19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Dated: August 6,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3212"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Vistance Networks, Inc.</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25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212"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Kyle D. Lorentzen</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25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Kyle D. Lorentzen</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25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Executive Vice President and </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25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258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right"/>
        <w:rPr/>
      </w:pPr>
      <w:r>
        <w:rPr/>
        <w:t> </w:t>
      </w:r>
    </w:p>
    <w:p>
      <w:pPr>
        <w:pStyle w:val="HorizontalLine"/>
        <w:pBdr>
          <w:bottom w:val="double" w:sz="2" w:space="0" w:color="808080"/>
        </w:pBdr>
        <w:bidi w:val="0"/>
        <w:spacing w:before="0" w:after="283"/>
        <w:jc w:val="left"/>
        <w:rPr/>
      </w:pPr>
      <w:r>
        <w:rPr/>
      </w:r>
    </w:p>
    <w:p>
      <w:pPr>
        <w:pStyle w:val="TextBody"/>
        <w:bidi w:val="0"/>
        <w:spacing w:before="120" w:after="283"/>
        <w:jc w:val="center"/>
        <w:rPr/>
      </w:pPr>
      <w:bookmarkStart w:id="2" w:name="visn-ex99_1.htm"/>
      <w:bookmarkStart w:id="3" w:name="ksvisnex99_1"/>
      <w:bookmarkEnd w:id="2"/>
      <w:bookmarkEnd w:id="3"/>
      <w:r>
        <w:rPr/>
        <w:drawing>
          <wp:inline distT="0" distB="0" distL="0" distR="0">
            <wp:extent cx="7315200" cy="14954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7315200" cy="1495425"/>
                    </a:xfrm>
                    <a:prstGeom prst="rect">
                      <a:avLst/>
                    </a:prstGeom>
                  </pic:spPr>
                </pic:pic>
              </a:graphicData>
            </a:graphic>
          </wp:inline>
        </w:drawing>
      </w:r>
      <w:r>
        <w:br w:type="page"/>
      </w:r>
    </w:p>
    <w:p>
      <w:pPr>
        <w:pStyle w:val="TextBody"/>
        <w:bidi w:val="0"/>
        <w:jc w:val="center"/>
        <w:rPr>
          <w:rFonts w:ascii="Times New Roman" w:hAnsi="Times New Roman"/>
          <w:sz w:val="20"/>
        </w:rPr>
      </w:pPr>
      <w:r>
        <w:rPr>
          <w:rFonts w:ascii="Aptos;sans-serif" w:hAnsi="Aptos;sans-serif"/>
          <w:b/>
          <w:color w:val="000000"/>
          <w:sz w:val="32"/>
        </w:rPr>
        <w:t>Vistance Networks Board Approves Special Distribution</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Aptos;sans-serif" w:hAnsi="Aptos;sans-serif"/>
          <w:b/>
          <w:color w:val="000000"/>
          <w:sz w:val="24"/>
        </w:rPr>
        <w:t xml:space="preserve">Richardson, TX, August 6, 2026 </w:t>
      </w:r>
      <w:r>
        <w:rPr>
          <w:rFonts w:ascii="Times New Roman" w:hAnsi="Times New Roman"/>
          <w:color w:val="000000"/>
          <w:sz w:val="20"/>
        </w:rPr>
        <w:t xml:space="preserve">– </w:t>
      </w:r>
      <w:r>
        <w:rPr>
          <w:rFonts w:ascii="Aptos;sans-serif" w:hAnsi="Aptos;sans-serif"/>
          <w:color w:val="0000FF"/>
          <w:sz w:val="24"/>
        </w:rPr>
        <w:t xml:space="preserve">Vistance Networks </w:t>
      </w:r>
      <w:r>
        <w:rPr>
          <w:rFonts w:ascii="Aptos;sans-serif" w:hAnsi="Aptos;sans-serif"/>
          <w:color w:val="333333"/>
          <w:sz w:val="24"/>
        </w:rPr>
        <w:t xml:space="preserve">(NASDAQ: VISN) (“Vistance” or the “Company”), a global provider of intelligent network solutions, </w:t>
      </w:r>
      <w:r>
        <w:rPr>
          <w:rFonts w:ascii="Aptos;sans-serif" w:hAnsi="Aptos;sans-serif"/>
          <w:color w:val="000000"/>
          <w:sz w:val="24"/>
        </w:rPr>
        <w:t>today announced its Board of Directors (the “Board”) declared a special cash distribution of $5.00 per share, payable on August 27, 2026, to holders of record of its common stock as of the close of business on August 17, 2026.</w:t>
      </w:r>
    </w:p>
    <w:p>
      <w:pPr>
        <w:pStyle w:val="TextBody"/>
        <w:bidi w:val="0"/>
        <w:spacing w:before="240" w:after="283"/>
        <w:jc w:val="left"/>
        <w:rPr>
          <w:rFonts w:ascii="Aptos;sans-serif" w:hAnsi="Aptos;sans-serif"/>
          <w:color w:val="000000"/>
          <w:sz w:val="24"/>
        </w:rPr>
      </w:pPr>
      <w:r>
        <w:rPr>
          <w:rFonts w:ascii="Aptos;sans-serif" w:hAnsi="Aptos;sans-serif"/>
          <w:color w:val="000000"/>
          <w:sz w:val="24"/>
        </w:rPr>
        <w:t>Pursuant to Nasdaq Rule 11140(b)(2), since the amount of the special cash distribution will be 25% or greater of the value of the Company’s common stock, the ex-dividend date shall be August 28, 2026, the first business day following the payment date.</w:t>
      </w:r>
    </w:p>
    <w:p>
      <w:pPr>
        <w:pStyle w:val="TextBody"/>
        <w:bidi w:val="0"/>
        <w:spacing w:before="240" w:after="283"/>
        <w:jc w:val="left"/>
        <w:rPr>
          <w:rFonts w:ascii="Aptos;sans-serif" w:hAnsi="Aptos;sans-serif"/>
          <w:color w:val="000000"/>
          <w:sz w:val="24"/>
        </w:rPr>
      </w:pPr>
      <w:r>
        <w:rPr>
          <w:rFonts w:ascii="Aptos;sans-serif" w:hAnsi="Aptos;sans-serif"/>
          <w:color w:val="000000"/>
          <w:sz w:val="24"/>
        </w:rPr>
        <w:t>The Company will fund the payment of the distribution with cash proceeds received in connection with the sale of its Ruckus Networks business to Belden Inc. on July 1, 2026.</w:t>
      </w:r>
    </w:p>
    <w:p>
      <w:pPr>
        <w:pStyle w:val="TextBody"/>
        <w:bidi w:val="0"/>
        <w:spacing w:before="480" w:after="283"/>
        <w:jc w:val="center"/>
        <w:rPr>
          <w:color w:val="000000"/>
        </w:rPr>
      </w:pPr>
      <w:r>
        <w:rPr>
          <w:color w:val="000000"/>
        </w:rPr>
        <w:t>—</w:t>
      </w:r>
      <w:r>
        <w:rPr>
          <w:rFonts w:ascii="Aptos;sans-serif" w:hAnsi="Aptos;sans-serif"/>
          <w:b/>
          <w:color w:val="000000"/>
          <w:sz w:val="22"/>
        </w:rPr>
        <w:t>END—</w:t>
      </w:r>
    </w:p>
    <w:p>
      <w:pPr>
        <w:pStyle w:val="TextBody"/>
        <w:bidi w:val="0"/>
        <w:jc w:val="left"/>
        <w:rPr/>
      </w:pPr>
      <w:r>
        <w:rPr/>
        <w:t> </w:t>
      </w:r>
    </w:p>
    <w:p>
      <w:pPr>
        <w:pStyle w:val="TextBody"/>
        <w:bidi w:val="0"/>
        <w:jc w:val="left"/>
        <w:rPr>
          <w:rFonts w:ascii="Times New Roman" w:hAnsi="Times New Roman"/>
          <w:sz w:val="20"/>
        </w:rPr>
      </w:pPr>
      <w:r>
        <w:rPr>
          <w:rFonts w:ascii="Aptos;sans-serif" w:hAnsi="Aptos;sans-serif"/>
          <w:i/>
          <w:color w:val="000000"/>
          <w:sz w:val="20"/>
        </w:rPr>
        <w:t xml:space="preserve">Vistance Networks, Aurora Networks, and their logos are trademarks of Vistance Networks, Inc. and/or its affiliates in the U.S. and other countries. For additional trademark information see </w:t>
      </w:r>
      <w:r>
        <w:rPr>
          <w:rFonts w:ascii="Aptos;sans-serif" w:hAnsi="Aptos;sans-serif"/>
          <w:i/>
          <w:color w:val="0033CC"/>
          <w:sz w:val="20"/>
        </w:rPr>
        <w:t>https://www.vistancenetworks.com</w:t>
      </w:r>
      <w:r>
        <w:rPr>
          <w:rFonts w:ascii="Aptos;sans-serif" w:hAnsi="Aptos;sans-serif"/>
          <w:i/>
          <w:color w:val="000000"/>
          <w:sz w:val="20"/>
        </w:rPr>
        <w:t>. All other product names, trademarks and registered trademarks are property of their respective owners.</w:t>
      </w:r>
    </w:p>
    <w:p>
      <w:pPr>
        <w:pStyle w:val="TextBody"/>
        <w:bidi w:val="0"/>
        <w:spacing w:before="360" w:after="283"/>
        <w:jc w:val="left"/>
        <w:rPr>
          <w:rFonts w:ascii="Times New Roman" w:hAnsi="Times New Roman"/>
          <w:sz w:val="20"/>
        </w:rPr>
      </w:pPr>
      <w:r>
        <w:rPr>
          <w:rFonts w:ascii="Aptos;sans-serif" w:hAnsi="Aptos;sans-serif"/>
          <w:b/>
          <w:color w:val="000000"/>
          <w:sz w:val="20"/>
        </w:rPr>
        <w:t>About Vistance Networks: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ptos;sans-serif" w:hAnsi="Aptos;sans-serif"/>
          <w:color w:val="000000"/>
          <w:sz w:val="20"/>
        </w:rPr>
        <w:t>Vistance Networks (NASDAQ: VISN) shapes the future of communications technology, pushing past what is possible. We deliver solutions that bring reliability and performance to a world always in motion. Our global team of innovators and employees are trusted advisors who listen to customers first, then deliver value. Discover more at www.vistancenetworks.com.</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Aptos;sans-serif" w:hAnsi="Aptos;sans-serif"/>
          <w:color w:val="000000"/>
          <w:sz w:val="20"/>
        </w:rPr>
        <w:t xml:space="preserve">Follow us on </w:t>
      </w:r>
      <w:r>
        <w:rPr>
          <w:rFonts w:ascii="Aptos;sans-serif" w:hAnsi="Aptos;sans-serif"/>
          <w:color w:val="0000FF"/>
          <w:sz w:val="20"/>
        </w:rPr>
        <w:t>LinkedIn</w:t>
      </w:r>
      <w:r>
        <w:rPr>
          <w:rFonts w:ascii="Aptos;sans-serif" w:hAnsi="Aptos;sans-serif"/>
          <w:color w:val="000000"/>
          <w:sz w:val="20"/>
        </w:rPr>
        <w:t>.</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ptos;sans-serif" w:hAnsi="Aptos;sans-serif"/>
          <w:b/>
          <w:color w:val="000000"/>
          <w:sz w:val="20"/>
        </w:rPr>
      </w:pPr>
      <w:r>
        <w:rPr>
          <w:rFonts w:ascii="Aptos;sans-serif" w:hAnsi="Aptos;sans-serif"/>
          <w:b/>
          <w:color w:val="000000"/>
          <w:sz w:val="20"/>
        </w:rPr>
        <w:t>Financial Contact:</w:t>
      </w:r>
    </w:p>
    <w:p>
      <w:pPr>
        <w:pStyle w:val="TextBody"/>
        <w:bidi w:val="0"/>
        <w:jc w:val="left"/>
        <w:rPr>
          <w:rFonts w:ascii="Aptos;sans-serif" w:hAnsi="Aptos;sans-serif"/>
          <w:color w:val="000000"/>
          <w:sz w:val="20"/>
        </w:rPr>
      </w:pPr>
      <w:r>
        <w:rPr>
          <w:rFonts w:ascii="Aptos;sans-serif" w:hAnsi="Aptos;sans-serif"/>
          <w:color w:val="000000"/>
          <w:sz w:val="20"/>
        </w:rPr>
        <w:t>Jenny Thompson</w:t>
      </w:r>
    </w:p>
    <w:p>
      <w:pPr>
        <w:pStyle w:val="TextBody"/>
        <w:bidi w:val="0"/>
        <w:jc w:val="left"/>
        <w:rPr>
          <w:rFonts w:ascii="Times New Roman" w:hAnsi="Times New Roman"/>
          <w:sz w:val="20"/>
        </w:rPr>
      </w:pPr>
      <w:r>
        <w:rPr>
          <w:rFonts w:ascii="Aptos;sans-serif" w:hAnsi="Aptos;sans-serif"/>
          <w:color w:val="0000FF"/>
          <w:sz w:val="20"/>
        </w:rPr>
        <w:t>Jenny.Thompson@vistancenetworks.com</w:t>
      </w:r>
      <w:r>
        <w:rPr>
          <w:rFonts w:ascii="Times New Roman" w:hAnsi="Times New Roman"/>
          <w:color w:val="000000"/>
          <w:sz w:val="20"/>
        </w:rPr>
        <w:t xml:space="preserve"> </w:t>
      </w:r>
    </w:p>
    <w:p>
      <w:pPr>
        <w:pStyle w:val="TextBody"/>
        <w:bidi w:val="0"/>
        <w:spacing w:before="240" w:after="283"/>
        <w:jc w:val="left"/>
        <w:rPr>
          <w:rFonts w:ascii="Aptos;sans-serif" w:hAnsi="Aptos;sans-serif"/>
          <w:i/>
          <w:color w:val="000000"/>
          <w:sz w:val="20"/>
        </w:rPr>
      </w:pPr>
      <w:r>
        <w:rPr>
          <w:rFonts w:ascii="Aptos;sans-serif" w:hAnsi="Aptos;sans-serif"/>
          <w:i/>
          <w:color w:val="000000"/>
          <w:sz w:val="20"/>
        </w:rPr>
        <w:t>This press release includes forward-looking statements that are based on information currently available to management, management’s beliefs, as well as on a number of assumptions concerning future events. Forward-looking statements are not a guarantee of performance and are subject to a number of uncertainties and other factors, which could cause the actual results to differ materially from those currently expected. In providing forward-looking statements, the company does not intend, and is not undertaking any obligation or duty, to update these statements as a result of new information, future events or otherwise.</w:t>
      </w:r>
    </w:p>
    <w:p>
      <w:pPr>
        <w:pStyle w:val="TextBody"/>
        <w:bidi w:val="0"/>
        <w:jc w:val="left"/>
        <w:rPr/>
      </w:pPr>
      <w:r>
        <w:rPr/>
        <w:t> </w:t>
      </w:r>
    </w:p>
    <w:p>
      <w:pPr>
        <w:pStyle w:val="TextBody"/>
        <w:bidi w:val="0"/>
        <w:jc w:val="left"/>
        <w:rPr>
          <w:rFonts w:ascii="Aptos;sans-serif" w:hAnsi="Aptos;sans-serif"/>
          <w:i/>
          <w:color w:val="000000"/>
          <w:sz w:val="20"/>
        </w:rPr>
      </w:pPr>
      <w:r>
        <w:rPr>
          <w:rFonts w:ascii="Aptos;sans-serif" w:hAnsi="Aptos;sans-serif"/>
          <w:i/>
          <w:color w:val="000000"/>
          <w:sz w:val="20"/>
        </w:rPr>
        <w:t>Source: Vistance Networks</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ptos">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1190</Words>
  <Characters>6612</Characters>
  <CharactersWithSpaces>7796</CharactersWithSpaces>
  <Paragraphs>148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