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mm-20250930.htm"/>
      <w:bookmarkStart w:id="1" w:name="kscomm20250930"/>
      <w:bookmarkEnd w:id="0"/>
      <w:bookmarkEnd w:id="1"/>
      <w:r>
        <w:rPr/>
        <w:t> </w:t>
      </w:r>
    </w:p>
    <w:p>
      <w:pPr>
        <w:pStyle w:val="TextBody"/>
        <w:pBdr>
          <w:bottom w:val="double" w:sz="6" w:space="1" w:color="000000"/>
        </w:pBdr>
        <w:bidi w:val="0"/>
        <w:jc w:val="left"/>
        <w:rPr/>
      </w:pPr>
      <w:r>
        <w:rPr/>
        <w:t> </w:t>
      </w:r>
    </w:p>
    <w:p>
      <w:pPr>
        <w:pStyle w:val="TextBody"/>
        <w:pBdr>
          <w:top w:val="double" w:sz="6" w:space="1" w:color="000000"/>
        </w:pBdr>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quarterly period ended September 30, 2025</w:t>
      </w:r>
      <w:r>
        <w:rPr>
          <w:rFonts w:ascii="Times New Roman" w:hAnsi="Times New Roman"/>
          <w:color w:val="000000"/>
          <w:sz w:val="20"/>
        </w:rPr>
        <w:t xml:space="preserve"> </w:t>
      </w:r>
    </w:p>
    <w:p>
      <w:pPr>
        <w:pStyle w:val="TextBody"/>
        <w:bidi w:val="0"/>
        <w:spacing w:before="6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001-36146</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3642 E. US Highway 70</w:t>
      </w:r>
    </w:p>
    <w:p>
      <w:pPr>
        <w:pStyle w:val="TextBody"/>
        <w:bidi w:val="0"/>
        <w:jc w:val="center"/>
        <w:rPr>
          <w:rFonts w:ascii="Times New Roman" w:hAnsi="Times New Roman"/>
          <w:b/>
          <w:color w:val="000000"/>
          <w:sz w:val="20"/>
        </w:rPr>
      </w:pPr>
      <w:r>
        <w:rPr>
          <w:rFonts w:ascii="Times New Roman" w:hAnsi="Times New Roman"/>
          <w:b/>
          <w:color w:val="000000"/>
          <w:sz w:val="20"/>
        </w:rPr>
        <w:t>Claremont, North Carolina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jc w:val="center"/>
        <w:rPr>
          <w:rFonts w:ascii="Times New Roman" w:hAnsi="Times New Roman"/>
          <w:b/>
          <w:color w:val="000000"/>
          <w:sz w:val="20"/>
        </w:rPr>
      </w:pPr>
      <w:r>
        <w:rPr>
          <w:rFonts w:ascii="Times New Roman" w:hAnsi="Times New Roman"/>
          <w:b/>
          <w:color w:val="000000"/>
          <w:sz w:val="20"/>
        </w:rPr>
        <w:t>28610</w:t>
      </w:r>
    </w:p>
    <w:p>
      <w:pPr>
        <w:pStyle w:val="TextBody"/>
        <w:bidi w:val="0"/>
        <w:jc w:val="center"/>
        <w:rPr>
          <w:rFonts w:ascii="Times New Roman" w:hAnsi="Times New Roman"/>
          <w:b/>
          <w:color w:val="000000"/>
          <w:sz w:val="16"/>
        </w:rPr>
      </w:pPr>
      <w:r>
        <w:rPr>
          <w:rFonts w:ascii="Times New Roman" w:hAnsi="Times New Roman"/>
          <w:b/>
          <w:color w:val="000000"/>
          <w:sz w:val="16"/>
        </w:rPr>
        <w:t>(Zip code)</w:t>
      </w:r>
    </w:p>
    <w:p>
      <w:pPr>
        <w:pStyle w:val="TextBody"/>
        <w:bidi w:val="0"/>
        <w:jc w:val="center"/>
        <w:rPr>
          <w:rFonts w:ascii="Times New Roman" w:hAnsi="Times New Roman"/>
          <w:b/>
          <w:color w:val="000000"/>
          <w:sz w:val="20"/>
        </w:rPr>
      </w:pPr>
      <w:r>
        <w:rPr>
          <w:rFonts w:ascii="Times New Roman" w:hAnsi="Times New Roman"/>
          <w:b/>
          <w:color w:val="000000"/>
          <w:sz w:val="20"/>
        </w:rPr>
        <w:t>(828) 459-5000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0" w:after="14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w:t>
            </w:r>
          </w:p>
        </w:tc>
      </w:tr>
    </w:tbl>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00" w:after="12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82" w:type="dxa"/>
        <w:jc w:val="left"/>
        <w:tblInd w:w="0" w:type="dxa"/>
        <w:tblLayout w:type="fixed"/>
        <w:tblCellMar>
          <w:top w:w="28" w:type="dxa"/>
          <w:left w:w="28" w:type="dxa"/>
          <w:bottom w:w="28" w:type="dxa"/>
          <w:right w:w="28" w:type="dxa"/>
        </w:tblCellMar>
      </w:tblPr>
      <w:tblGrid>
        <w:gridCol w:w="1666"/>
        <w:gridCol w:w="146"/>
        <w:gridCol w:w="37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pBdr>
          <w:bottom w:val="double" w:sz="6" w:space="1" w:color="000000"/>
        </w:pBdr>
        <w:bidi w:val="0"/>
        <w:spacing w:before="80" w:after="283"/>
        <w:jc w:val="left"/>
        <w:rPr>
          <w:rFonts w:ascii="Times New Roman" w:hAnsi="Times New Roman"/>
          <w:color w:val="000000"/>
          <w:sz w:val="20"/>
        </w:rPr>
      </w:pPr>
      <w:r>
        <w:rPr>
          <w:rFonts w:ascii="Times New Roman" w:hAnsi="Times New Roman"/>
          <w:color w:val="000000"/>
          <w:sz w:val="20"/>
        </w:rPr>
        <w:t>As of October 23, 2025, there were 221,548,707 shares of common stock outstanding.</w:t>
      </w:r>
    </w:p>
    <w:p>
      <w:pPr>
        <w:pStyle w:val="TextBody"/>
        <w:bidi w:val="0"/>
        <w:spacing w:before="240" w:after="283"/>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88"/>
        <w:gridCol w:w="146"/>
        <w:gridCol w:w="1871"/>
      </w:tblGrid>
      <w:tr>
        <w:trPr/>
        <w:tc>
          <w:tcPr>
            <w:tcW w:w="8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1_financial_information">
              <w:r>
                <w:rPr>
                  <w:rStyle w:val="InternetLink"/>
                  <w:rFonts w:ascii="Times New Roman" w:hAnsi="Times New Roman"/>
                  <w:color w:val="0000FF"/>
                  <w:sz w:val="20"/>
                  <w:u w:val="single"/>
                </w:rPr>
                <w:t>Part I—Financial Information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_condensed_consolidated_fs">
              <w:r>
                <w:rPr>
                  <w:rStyle w:val="InternetLink"/>
                  <w:rFonts w:ascii="Times New Roman" w:hAnsi="Times New Roman"/>
                  <w:color w:val="0000FF"/>
                  <w:sz w:val="20"/>
                  <w:u w:val="single"/>
                </w:rPr>
                <w:t>Item 1.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item_1_condensed_consolidated_fs">
              <w:r>
                <w:rPr>
                  <w:rStyle w:val="InternetLink"/>
                  <w:rFonts w:ascii="Times New Roman" w:hAnsi="Times New Roman"/>
                  <w:color w:val="0000FF"/>
                  <w:sz w:val="20"/>
                  <w:u w:val="single"/>
                </w:rPr>
                <w:t>Condensed Consolidated Statements of Operations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2</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condensed_consolidated_stmt_of_comp_inc">
              <w:r>
                <w:rPr>
                  <w:rStyle w:val="InternetLink"/>
                  <w:rFonts w:ascii="Times New Roman" w:hAnsi="Times New Roman"/>
                  <w:color w:val="0000FF"/>
                  <w:sz w:val="20"/>
                  <w:u w:val="single"/>
                </w:rPr>
                <w:t>Condensed Consolidated Statements of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3</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item_1_condensed_consolidated_bs">
              <w:r>
                <w:rPr>
                  <w:rStyle w:val="InternetLink"/>
                  <w:rFonts w:ascii="Times New Roman" w:hAnsi="Times New Roman"/>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item_1_condensed_consolidated_cf">
              <w:r>
                <w:rPr>
                  <w:rStyle w:val="InternetLink"/>
                  <w:rFonts w:ascii="Times New Roman" w:hAnsi="Times New Roman"/>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item_1_stmt_stkholders_equity">
              <w:r>
                <w:rPr>
                  <w:rStyle w:val="InternetLink"/>
                  <w:rFonts w:ascii="Times New Roman" w:hAnsi="Times New Roman"/>
                  <w:color w:val="0000FF"/>
                  <w:sz w:val="20"/>
                  <w:u w:val="single"/>
                </w:rPr>
                <w:t>Condensed Consolidated Statements of Stockholders’ Deficit</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6</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168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1680"/>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7</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33</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3_quantitative_qualitative_discl">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50</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50</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or_information">
              <w:r>
                <w:rPr>
                  <w:rStyle w:val="InternetLink"/>
                  <w:rFonts w:ascii="Times New Roman" w:hAnsi="Times New Roman"/>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51</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a_risk_factors">
              <w:r>
                <w:rPr>
                  <w:rStyle w:val="InternetLink"/>
                  <w:rFonts w:ascii="Times New Roman" w:hAnsi="Times New Roman"/>
                  <w:color w:val="0000FF"/>
                  <w:sz w:val="20"/>
                  <w:u w:val="single"/>
                </w:rPr>
                <w:t>Item 1A. Risk Factors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51</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2_unregistered_sales_equity_securit">
              <w:r>
                <w:rPr>
                  <w:rStyle w:val="InternetLink"/>
                  <w:rFonts w:ascii="Times New Roman" w:hAnsi="Times New Roman"/>
                  <w:color w:val="0000FF"/>
                  <w:sz w:val="20"/>
                  <w:u w:val="single"/>
                </w:rPr>
                <w:t>Item 2. Unregistered Sales of Equity Securities, Use of Proceeds,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rFonts w:ascii="Times New Roman" w:hAnsi="Times New Roman"/>
                <w:color w:val="000000"/>
                <w:sz w:val="20"/>
              </w:rPr>
            </w:pPr>
            <w:r>
              <w:rPr>
                <w:rFonts w:ascii="Times New Roman" w:hAnsi="Times New Roman"/>
                <w:color w:val="000000"/>
                <w:sz w:val="20"/>
              </w:rPr>
              <w:t>53</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53</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rFonts w:ascii="Times New Roman" w:hAnsi="Times New Roman"/>
                <w:color w:val="000000"/>
                <w:sz w:val="20"/>
              </w:rPr>
            </w:pPr>
            <w:r>
              <w:rPr>
                <w:rFonts w:ascii="Times New Roman" w:hAnsi="Times New Roman"/>
                <w:color w:val="000000"/>
                <w:sz w:val="20"/>
              </w:rPr>
              <w:t>53</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53</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54</w:t>
            </w:r>
          </w:p>
        </w:tc>
      </w:tr>
      <w:tr>
        <w:trPr/>
        <w:tc>
          <w:tcPr>
            <w:tcW w:w="8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818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1_financial_information"/>
      <w:bookmarkEnd w:id="2"/>
      <w:r>
        <w:rPr>
          <w:rFonts w:ascii="Times New Roman" w:hAnsi="Times New Roman"/>
          <w:b/>
          <w:color w:val="000000"/>
          <w:sz w:val="20"/>
        </w:rPr>
        <w:t>PART 1 – FINANCIAL INFORMATION (UNAUDITED)</w:t>
      </w:r>
    </w:p>
    <w:p>
      <w:pPr>
        <w:pStyle w:val="TextBody"/>
        <w:bidi w:val="0"/>
        <w:jc w:val="left"/>
        <w:rPr>
          <w:rFonts w:ascii="Times New Roman" w:hAnsi="Times New Roman"/>
          <w:b/>
          <w:color w:val="000000"/>
          <w:sz w:val="20"/>
        </w:rPr>
      </w:pPr>
      <w:bookmarkStart w:id="3" w:name="item_1_condensed_consolidated_fs"/>
      <w:bookmarkEnd w:id="3"/>
      <w:r>
        <w:rPr>
          <w:rFonts w:ascii="Times New Roman" w:hAnsi="Times New Roman"/>
          <w:b/>
          <w:color w:val="000000"/>
          <w:sz w:val="20"/>
        </w:rPr>
        <w:t>ITEM 1. CONDENSED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04"/>
        <w:gridCol w:w="146"/>
        <w:gridCol w:w="211"/>
        <w:gridCol w:w="721"/>
        <w:gridCol w:w="166"/>
        <w:gridCol w:w="146"/>
        <w:gridCol w:w="211"/>
        <w:gridCol w:w="721"/>
        <w:gridCol w:w="166"/>
        <w:gridCol w:w="146"/>
        <w:gridCol w:w="211"/>
        <w:gridCol w:w="721"/>
        <w:gridCol w:w="166"/>
        <w:gridCol w:w="146"/>
        <w:gridCol w:w="211"/>
        <w:gridCol w:w="721"/>
        <w:gridCol w:w="391"/>
      </w:tblGrid>
      <w:tr>
        <w:trPr/>
        <w:tc>
          <w:tcPr>
            <w:tcW w:w="5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8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CommScope Holding Company, Inc.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 except per share amounts)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3,036.7</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1,129.2</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service agreement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(credits),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1,084.8</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1,012.7</w:t>
            </w:r>
          </w:p>
        </w:tc>
        <w:tc>
          <w:tcPr>
            <w:tcW w:w="39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discontinued operations, net of income tax</w:t>
              <w:br/>
              <w:t xml:space="preserve">   (expense) benefit of $3.3, $(22.1), $(380.4) and $(73.8), </w:t>
              <w:br/>
              <w:t>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 dividends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bookmarkStart w:id="4" w:name="condensed_consolidated_stmt_of_comp_inc"/>
      <w:bookmarkEnd w:id="4"/>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 – In millions)</w:t>
      </w:r>
    </w:p>
    <w:p>
      <w:pPr>
        <w:pStyle w:val="TextBody"/>
        <w:bidi w:val="0"/>
        <w:jc w:val="center"/>
        <w:rPr/>
      </w:pPr>
      <w:r>
        <w:rPr/>
        <w:t> </w:t>
      </w:r>
    </w:p>
    <w:tbl>
      <w:tblPr>
        <w:tblW w:w="9142" w:type="dxa"/>
        <w:jc w:val="left"/>
        <w:tblInd w:w="0" w:type="dxa"/>
        <w:tblLayout w:type="fixed"/>
        <w:tblCellMar>
          <w:top w:w="28" w:type="dxa"/>
          <w:left w:w="28" w:type="dxa"/>
          <w:bottom w:w="28" w:type="dxa"/>
          <w:right w:w="28" w:type="dxa"/>
        </w:tblCellMar>
      </w:tblPr>
      <w:tblGrid>
        <w:gridCol w:w="4376"/>
        <w:gridCol w:w="146"/>
        <w:gridCol w:w="211"/>
        <w:gridCol w:w="571"/>
        <w:gridCol w:w="166"/>
        <w:gridCol w:w="146"/>
        <w:gridCol w:w="211"/>
        <w:gridCol w:w="526"/>
        <w:gridCol w:w="166"/>
        <w:gridCol w:w="146"/>
        <w:gridCol w:w="211"/>
        <w:gridCol w:w="721"/>
        <w:gridCol w:w="166"/>
        <w:gridCol w:w="146"/>
        <w:gridCol w:w="211"/>
        <w:gridCol w:w="631"/>
        <w:gridCol w:w="391"/>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7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and other postretirement benefit activity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7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5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20" w:type="dxa"/>
        <w:jc w:val="left"/>
        <w:tblInd w:w="0" w:type="dxa"/>
        <w:tblLayout w:type="fixed"/>
        <w:tblCellMar>
          <w:top w:w="28" w:type="dxa"/>
          <w:left w:w="28" w:type="dxa"/>
          <w:bottom w:w="28" w:type="dxa"/>
          <w:right w:w="28" w:type="dxa"/>
        </w:tblCellMar>
      </w:tblPr>
      <w:tblGrid>
        <w:gridCol w:w="6006"/>
        <w:gridCol w:w="146"/>
        <w:gridCol w:w="328"/>
        <w:gridCol w:w="1217"/>
        <w:gridCol w:w="166"/>
        <w:gridCol w:w="146"/>
        <w:gridCol w:w="305"/>
        <w:gridCol w:w="1195"/>
        <w:gridCol w:w="411"/>
      </w:tblGrid>
      <w:tr>
        <w:trPr/>
        <w:tc>
          <w:tcPr>
            <w:tcW w:w="6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5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bookmarkStart w:id="5" w:name="item_1_condensed_consolidated_bs"/>
            <w:bookmarkEnd w:id="5"/>
            <w:r>
              <w:rPr>
                <w:rFonts w:ascii="Times New Roman" w:hAnsi="Times New Roman"/>
                <w:b/>
                <w:color w:val="000000"/>
                <w:sz w:val="20"/>
              </w:rPr>
              <w:t>CommScope Holding Company, Inc.</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 except share amounts)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Unaudited </w:t>
              <w:b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Accounts receivable, net of allowance for doubtful accounts </w:t>
              <w:br/>
              <w:t>   of $13.3 and $16.5,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3,484.5</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Property, plant and equipment, net of accumulated depreciation </w:t>
              <w:br/>
              <w:t>   of $721.6 and $710.2,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2,867.3</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7,939.1</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8,747.5</w:t>
            </w:r>
          </w:p>
        </w:tc>
        <w:tc>
          <w:tcPr>
            <w:tcW w:w="4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9,238.4</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9,005.1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10,976.3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 $0.01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$0.01 par value: Authorized shares: 200,000,000;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 and outstanding shares: 1,278,653 and 1,227,328, respectively,</w:t>
              <w:br/>
              <w:t>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Common stock, $0.01 par value: Authorized shares: 1,300,000,000; </w:t>
              <w:br/>
              <w:t xml:space="preserve">   Issued and outstanding shares: 221,527,126 and 215,887,001, </w:t>
              <w:br/>
              <w:t>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(5,324.5</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Treasury stock, at cost: 17,540,748 shares and </w:t>
              <w:br/>
              <w:t>   15,647,303 shares,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8,747.5</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2"/>
        <w:gridCol w:w="201"/>
        <w:gridCol w:w="290"/>
        <w:gridCol w:w="1077"/>
        <w:gridCol w:w="228"/>
        <w:gridCol w:w="201"/>
        <w:gridCol w:w="290"/>
        <w:gridCol w:w="870"/>
        <w:gridCol w:w="616"/>
      </w:tblGrid>
      <w:tr>
        <w:trPr/>
        <w:tc>
          <w:tcPr>
            <w:tcW w:w="64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95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bookmarkStart w:id="6" w:name="item_1_condensed_consolidated_cf"/>
            <w:bookmarkEnd w:id="6"/>
            <w:r>
              <w:rPr>
                <w:rFonts w:ascii="Times New Roman" w:hAnsi="Times New Roman"/>
                <w:b/>
                <w:color w:val="000000"/>
                <w:sz w:val="20"/>
              </w:rPr>
              <w:t>CommScope Holding Company, Inc.</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Condensed Consolidated Statements of Cash Flows </w:t>
            </w:r>
            <w:r>
              <w:rPr>
                <w:rFonts w:ascii="Times New Roman" w:hAnsi="Times New Roman"/>
                <w:b/>
                <w:color w:val="000000"/>
                <w:sz w:val="13"/>
              </w:rPr>
              <w:t>(1)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impairments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disposal of discontinued operations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liabilities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(used in) operating activities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to property, plant and equipment</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proceeds from divestitures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2,041.9</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of a business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(used in) investing activities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repaid</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proceeds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issuance costs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withholding payments for vested equity-based compensation awards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(2,015.9</w:t>
            </w:r>
          </w:p>
        </w:tc>
        <w:tc>
          <w:tcPr>
            <w:tcW w:w="2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6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2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6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89"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cash flows related to discontinued operations have not been segregated. Accordingly, the Condensed Consolidated Statements of Cash Flows include the results of continuing and discontinued operations.</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Normal"/>
        <w:bidi w:val="0"/>
        <w:spacing w:before="0" w:after="0"/>
        <w:jc w:val="left"/>
        <w:rPr>
          <w:sz w:val="4"/>
          <w:szCs w:val="4"/>
        </w:rPr>
      </w:pPr>
      <w:r>
        <w:rPr>
          <w:sz w:val="4"/>
          <w:szCs w:val="4"/>
        </w:rPr>
      </w:r>
      <w:bookmarkStart w:id="7" w:name="item_1_stmt_stkholders_equity"/>
      <w:bookmarkStart w:id="8" w:name="item_1_stmt_stkholders_equity"/>
      <w:bookmarkEnd w:id="8"/>
    </w:p>
    <w:tbl>
      <w:tblPr>
        <w:tblW w:w="10205" w:type="dxa"/>
        <w:jc w:val="left"/>
        <w:tblInd w:w="0" w:type="dxa"/>
        <w:tblLayout w:type="fixed"/>
        <w:tblCellMar>
          <w:top w:w="28" w:type="dxa"/>
          <w:left w:w="28" w:type="dxa"/>
          <w:bottom w:w="28" w:type="dxa"/>
          <w:right w:w="28" w:type="dxa"/>
        </w:tblCellMar>
      </w:tblPr>
      <w:tblGrid>
        <w:gridCol w:w="3404"/>
        <w:gridCol w:w="146"/>
        <w:gridCol w:w="211"/>
        <w:gridCol w:w="1141"/>
        <w:gridCol w:w="166"/>
        <w:gridCol w:w="146"/>
        <w:gridCol w:w="211"/>
        <w:gridCol w:w="1141"/>
        <w:gridCol w:w="166"/>
        <w:gridCol w:w="146"/>
        <w:gridCol w:w="211"/>
        <w:gridCol w:w="1141"/>
        <w:gridCol w:w="166"/>
        <w:gridCol w:w="146"/>
        <w:gridCol w:w="211"/>
        <w:gridCol w:w="1141"/>
        <w:gridCol w:w="311"/>
      </w:tblGrid>
      <w:tr>
        <w:trPr/>
        <w:tc>
          <w:tcPr>
            <w:tcW w:w="3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8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bookmarkStart w:id="9" w:name="item_1_stmt_stk_equity"/>
            <w:bookmarkEnd w:id="9"/>
            <w:r>
              <w:rPr>
                <w:rFonts w:ascii="Times New Roman" w:hAnsi="Times New Roman"/>
                <w:b/>
                <w:color w:val="000000"/>
                <w:sz w:val="20"/>
              </w:rPr>
              <w:t>CommScope Holding Company, Inc.</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Stockholders' Deficit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 except share amounts)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common shares outstanding:</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221,451,007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215,851,423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215,887,001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212,108,634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shares under equity-based compensation plans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7,533,570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4,961,268</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surrendered under equity-based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(1,212,389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221,527,126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215,857,513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221,527,126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215,857,513</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shares under equity-based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2,550.4</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Dividends on Series A convertible preferred stock</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2,522.9</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(5,331.3</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shares surrendered under equity-based compensation</w:t>
              <w:br/>
              <w:t>   plans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(3,352.9</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jc w:val="left"/>
        <w:rPr>
          <w:rFonts w:ascii="Times New Roman" w:hAnsi="Times New Roman"/>
          <w:b/>
          <w:color w:val="000000"/>
          <w:sz w:val="20"/>
        </w:rPr>
      </w:pPr>
      <w:bookmarkStart w:id="10" w:name="notes_to_unaudited_condensed_consolidate"/>
      <w:bookmarkEnd w:id="10"/>
      <w:r>
        <w:rPr>
          <w:rFonts w:ascii="Times New Roman" w:hAnsi="Times New Roman"/>
          <w:b/>
          <w:color w:val="000000"/>
          <w:sz w:val="20"/>
        </w:rPr>
        <w:t>1. BACKGROUND AND BASIS OF PRESENTATION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CommScope Holding Company, Inc., along with its direct and indirect subsidiaries (CommScope or the Company), is a global provider of infrastructure solutions for communication, data center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August 3, 2025, the Company entered into a definitive agreement (Agreement) with Amphenol Corporation, a Delaware corporation (Amphenol), pursuant to which Amphenol has agreed to acquire the Company’s Connectivity and Cable Solutions (CCS) segment in exchange for $10.5 billion in cash, to be paid by Amphenol upon closing. The Company expects net proceeds after fees and taxes to be approximately $10.0 billion. Following shareholder approval, which was obtained on October 16, 2025, the sale is expected to close within the first quarter of 2026, subject to customary closing conditions, including receipt of applicable regulatory approvals. The CCS segment provides wired infrastructure for data centers, enterprises and service providers on a global scale. In connection with the transaction and as required by the Agreement, the Company currently expects to repay or redeem its existing indebtedness on or shortly after the closing date. After repaying debt, redeeming preferred stock, and placing a modest amount of leverage on the remaining company, the Company expects to have excess cash, and the Company currently intends to distribute a substantial portion of this excess cash to its stockholders as a special dividend after the deal closes. Upon obtaining shareholder approval, the divestiture of the CCS segment met the “held for sale” criteria per Accounting Standard Codification (ASC) 360-10, </w:t>
      </w:r>
      <w:r>
        <w:rPr>
          <w:rFonts w:ascii="Times New Roman" w:hAnsi="Times New Roman"/>
          <w:i/>
          <w:color w:val="000000"/>
          <w:sz w:val="20"/>
        </w:rPr>
        <w:t>Impairment and Disposal of Long Lived Assets,</w:t>
      </w:r>
      <w:r>
        <w:rPr>
          <w:rFonts w:ascii="Times New Roman" w:hAnsi="Times New Roman"/>
          <w:color w:val="000000"/>
          <w:sz w:val="20"/>
        </w:rPr>
        <w:t xml:space="preserve"> in the fourth quarter of 2025, and the Company has determined that the divestiture represents a strategic shift that will have a major effect on the Company’s operations. As such, the results of operations directly attributable to the CCS segment will be reclassified to discontinued operations per ASC 205-20, </w:t>
      </w:r>
      <w:r>
        <w:rPr>
          <w:rFonts w:ascii="Times New Roman" w:hAnsi="Times New Roman"/>
          <w:i/>
          <w:color w:val="000000"/>
          <w:sz w:val="20"/>
        </w:rPr>
        <w:t>Presentation of Financial Statements – Discontinued Operations</w:t>
      </w:r>
      <w:r>
        <w:rPr>
          <w:rFonts w:ascii="Times New Roman" w:hAnsi="Times New Roman"/>
          <w:color w:val="000000"/>
          <w:sz w:val="20"/>
        </w:rPr>
        <w:t>, on the Consolidated Statements of Operations, retrospectively for all periods presented beginning in the fourth quarter of 2025. In addition, the assets and liabilities will be presented separately on the Consolidated Balance Sheets for both current and prior periods beginning in the fourth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the Company completed the previously announced sale of the Outdoor Wireless Networks (OWN) segment and the Distributed Antenna Systems (DAS) business unit of the Networking, Intelligent Cellular &amp; Security Solutions (NICS) segment to Amphenol, pursuant to the Purchase Agreement dated July 18, 2024, in exchange for approximately $2.0 billion (net of transaction expense and cash acquired). The OWN segment and DAS business unit qualified as “held for sale” per ASC 360-10 in the third quarter of 2024 and were classified as discontinued operations per ASC 205-20, as the Company determined, qualitatively and quantitatively, that this transaction represented a strategic shift that would have a major effect on the Company’s operations and financial results. For all periods presented, amounts in these condensed consolidated financial statements have been recast to reflect the discontinuation of the OWN segment and DAS business unit in accordance with this guidance.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divesting the DAS business during the quarter ended March 31, 2025, the Company has changed the name of its NICS segment to RUCKUS, effective as of April 1, 2025. There were no changes to the composition of the Company’s operating or reportable segments, the financial information reviewed by the chief operating decision maker (CODM), or historical segment operating results as a result of this change. Certain historical transactions related to product shifts and divestitures occurring prior to the effective date of the name change are still being referred to as part of the NICS segment. The discussions in these condensed consolidated financial statements relate solely to the Company’s continuing operations, unless otherwise noted. As a result, the Company is reporting financial performance based on the following remaining three operating segments: CCS, RUCKUS and Access Networks Solutions (ANS). See Note 3 for further discussion of the discontinued operations related to the OWN segment, DAS business unit and Home Networks (Home)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the Company completed the sale of its OneCell business to Amphenol, pursuant to a Purchase Agreement dated April 30, 2025. OneCell is an advanced in-building small cell solution designed to deliver seamless long-term evolution (LTE) and 5G connectivity across enterprise environments. The transaction involved the sale of certain assets and transfer of certain operations that were previously included within the RUCKUS segment. The disposal did not meet the criteria for classification as a discontinued operation under ASC 205-20, as it does not represent a strategic shift that has or will have a major effect on the Company’s operations and financial results. See Note 3 for further discussion of the disposition related to the OneCell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1, 2025, management shifted a product line from the Company’s RUCKUS (formerly NICS) segment to the ANS segment to better align with how the businesses are managed. All prior period amounts in these condensed consolidated financial statements have been recast to reflect these operating segment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2024 (the 2024 Annual Report). The significant accounting policies followed by the Company are set forth in Note 2 within the Company’s audited consolidated financial statements included in the 2024 Annual Report. There were no material changes in the Company’s significant accounting policies during the three or nine months ended September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Concentrations of Risk and Related Party Transactions</w:t>
      </w:r>
    </w:p>
    <w:p>
      <w:pPr>
        <w:pStyle w:val="TextBody"/>
        <w:bidi w:val="0"/>
        <w:spacing w:before="120" w:after="283"/>
        <w:jc w:val="left"/>
        <w:rPr>
          <w:rFonts w:ascii="Times New Roman" w:hAnsi="Times New Roman"/>
          <w:sz w:val="20"/>
        </w:rPr>
      </w:pPr>
      <w:r>
        <w:rPr>
          <w:rFonts w:ascii="Times New Roman" w:hAnsi="Times New Roman"/>
          <w:color w:val="212121"/>
          <w:sz w:val="20"/>
        </w:rPr>
        <w:t xml:space="preserve">Net sales to </w:t>
      </w:r>
      <w:r>
        <w:rPr>
          <w:rFonts w:ascii="Times New Roman" w:hAnsi="Times New Roman"/>
          <w:color w:val="000000"/>
          <w:sz w:val="20"/>
        </w:rPr>
        <w:t xml:space="preserve">Comcast </w:t>
      </w:r>
      <w:r>
        <w:rPr>
          <w:rFonts w:ascii="Times New Roman" w:hAnsi="Times New Roman"/>
          <w:color w:val="212121"/>
          <w:sz w:val="20"/>
        </w:rPr>
        <w:t>Corporation and affiliates (Comcast) accounted for approximately 16% and 14% of the Company’s total net sales during the three and nine months ended September 30, 2025</w:t>
      </w:r>
      <w:r>
        <w:rPr>
          <w:rFonts w:ascii="Times New Roman" w:hAnsi="Times New Roman"/>
          <w:color w:val="000000"/>
          <w:sz w:val="20"/>
        </w:rPr>
        <w:t>, respectively. Other than Comcast, no direct customer accounted for 10% or more of the Company’s net sales during the three or nine months ended September 30, 2025 or 2024. Accounts receivable from Comcast represented approximately 18% of the Company’s accounts receivable as of September 30, 2025. Other than Comcast, no direct customer accounted for 10% or more of the Company’s accounts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funds affiliated with Carlyle Partners VII S1 Holdings, L.P. (Carlyle) owned 100% of the Company’s Series A convertible preferred stock (the Convertible Preferred Stock), which was sold to Carlyle to fund a portion of the acquisition of ARRIS International plc (ARRIS) in 2019. See Note 11 for further discussion of the Convertible Preferred Stock. Other than transactions related to the Convertible Preferred Stock and the Company’s continuing involvement with Vantiva SA (Vantiva) discussed in Note 3, there were no material related party transactions during the three or nine months ended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Warranties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 liability for the estimated claims that may be paid under its customer assurance-type warranty agreements to remedy potential deficiencies of quality or performance of the Company’s products. These product warranties extend over various periods, depending 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activity in the product warranty accrual, included in accrued and other liabilities and other noncurrent liabilities on the Condensed Consolidated Balance Sheets:</w:t>
      </w:r>
    </w:p>
    <w:tbl>
      <w:tblPr>
        <w:tblW w:w="7902" w:type="dxa"/>
        <w:jc w:val="left"/>
        <w:tblInd w:w="0" w:type="dxa"/>
        <w:tblLayout w:type="fixed"/>
        <w:tblCellMar>
          <w:top w:w="28" w:type="dxa"/>
          <w:left w:w="28" w:type="dxa"/>
          <w:bottom w:w="28" w:type="dxa"/>
          <w:right w:w="28" w:type="dxa"/>
        </w:tblCellMar>
      </w:tblPr>
      <w:tblGrid>
        <w:gridCol w:w="3841"/>
        <w:gridCol w:w="146"/>
        <w:gridCol w:w="211"/>
        <w:gridCol w:w="466"/>
        <w:gridCol w:w="166"/>
        <w:gridCol w:w="146"/>
        <w:gridCol w:w="211"/>
        <w:gridCol w:w="466"/>
        <w:gridCol w:w="166"/>
        <w:gridCol w:w="146"/>
        <w:gridCol w:w="211"/>
        <w:gridCol w:w="466"/>
        <w:gridCol w:w="166"/>
        <w:gridCol w:w="146"/>
        <w:gridCol w:w="211"/>
        <w:gridCol w:w="526"/>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accrual,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warranty claims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claims paid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accrual,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Non-cancellable Purchase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the Company entered into a long-term supply contract with a third-party to secure the supply of certain raw materials. Under the terms of the contract, the Company will make advance payments through 2026 totaling $120.0 million (undiscounted) and based on meeting certain minimum purchase requirements through 2031, such advance payments will be credited and applied to future orders on a quarterly basis beginning in 2027 through 2031. Advance payments of $80.0 million and $60.0 million are recorded as other noncurrent assets on the Condensed Consolidated Balance Sheets as of September 30, 2025 and December 31, 2024, respectively. The Company has committed to growing purchases of raw materials under this agreement to a level of approximately $137 million per year by 2026 and continuing through 2032.</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various federal, state, local and foreign laws and regulations governing the use, discharge, disposal and remediation of hazardous materials. Compliance with current laws and regulations has not had, and is not expected to have, a material adverse effect on the Company’s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 Impairments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tested for impairment annually or at other times if events have occurred or circumstances exist that indicate the carrying value of the reporting unit may exceed its fair value. As of January 1, 2025, the Company assessed goodwill for impairment due to a change in the composition of reporting units as a result of the product line shift from the RUCKUS (formerly NICS) segment to the ANS segment and determined that no goodwill impairment existed. There were no goodwill impairments identified during the three or nine months ended September 30, 2025 or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annual impairment test on October 1, 2024, the implied fair value of the ANS reporting unit exceeded its respective carrying amount by 8%. Considering the low headroom going forward for the ANS reporting unit, there is a risk for future impairment in the event of further declines in general economic, market or business conditions or any significant unfavorable change in the forecasted cash flows, weighted average cost of capital or growth rates. If current and long-term projections for the ANS reporting unit are not realized or decrease materially, the Company may be required to recognize additional goodwill impairment charges, and these charges could be material to the results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which include 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and as part of discontinued operations, there were no definite-lived intangible or other long-lived asset impairments identified during the three or nine months ended September 30, 2025 or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President Trump signed into law the One Big Beautiful Bill Act (OBBBA). The OBBBA makes permanent key elements of the Tax Cuts and Jobs Act, including 100% bonus depreciation, domestic research cost expensing and expansions to the business interest expense limitation. The Company has evaluated the impacts of the newly enacted tax law and identified the required changes as a result of the OBBBA and such evaluations are reflected in these condensed consolidated financial statements for the three and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2025, the Company recognized income tax expense of $42.6 million on pretax income of $149.5 million and an income tax benefit of $250.1 million on pretax income of $175.9 million, respectively. The Company’s income taxes were greater than the statutory rate of 21.0% for the three months ended September 30, 2025, primarily due to the impacts of U.S. anti-deferral provisions. Additionally, for the three months ended September 30, 2025, the Company recognized $9.0 million of tax benefit associated with a reduction to the valuation allowance recorded through the second quarter of 2025 related to current year federal and state interest limitation carryforwards. For the nine months ended September 30, 2025, the Company's income taxes were less than the statutory rate of 21% due to the tax benefit related to federal tax credits, as well as $361.1 million of tax benefit associated with a tax planning strategy. Offsetting these benefits for the nine months ended September 30, 2025, were the unfavorable impacts of $41.0 million of an additional valuation allowance related to current year federal and state interest limitation carryforwards and U.S. anti-deferral provisions. For the three and nine months ended September 30, 2025, the Company used a discrete calculation to compute the net tax benefit associated with external interest. Using the estimated annual tax rate for this component of income would have produced significant variability in the estimated annual effective tax rate, and use of the discrete method for this component results in the best estimate of the estimated annual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2024, the Company recognized income tax expense of $26.7 million on a pretax loss of $70.0 million and income tax expense of $41.6 million on a pretax loss of $354.3 million, respectively. The Company’s income taxes for the three and nine months ended September 30, 2024, were unfavorably impacted by $35.9 million and $103.7 million, respectively, of additional valuation allowance related to current year federal and state interest limitation carryforwards and U.S. anti-deferral provisions, partially offset by tax benefits related to federal tax credits. For the three and nine months ended September 30, 2024, the Company used a discrete calculation to compute the net tax benefit associated with external interest. Using the estimated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annual tax rate for this component of income would have produced significant variability in the estimated annual effective tax rate, and use of the discrete method for this component results in the best estimate of the estimated annual effective tax rate.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(loss) per share (EPS) from continuing operations is computed by dividing income (loss) from continuing operations, less any dividends and deemed dividends related to the Convertible Preferred Stock, by the weighted average number of common shares outstanding during the period. The numerator in diluted EPS from continuing operations is based on the basic EPS from continuing operations numerator, adjusted to add back any dividends and deemed dividends related to the Convertible Preferred Stock, subject to antidilution requirements. The denominator used in diluted EPS from continuing operations is based on the basic EPS computation plus the effect of potentially dilutive common shares related to the Convertible Preferred Stock and equity-based compensation plans, subject to antidilution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EPS from discontinued operations is computed by dividing income (loss) from discontinued operations, net of income taxes, by the weighted average number of common shares outstanding during the period. The numerator in diluted EPS from discontinued operations is the same as the basic EPS from discontinued operations numerator. The denominator used in diluted EPS from discontinued operations is based on the basic EPS computation plus the effect of potentially dilutive common shares related to the Convertible Preferred Stock and equity-based compensation plans, subject to antidilution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2025, 5.5 million and 7.4 million shares, respectively, of outstanding equity-based compensation awards were not included in the computation of diluted EPS because the effect was antidilutive or the performance conditions were not met. For the three and nine months ended September 30, 2024, 18.7 million and 18.6 million shares, respectively, of outstanding equity-based compensation awards were not included in the computation of diluted EPS because the effect was antidilutive or the performance conditions were not met. Of those amounts, for the three and nine months ended September 30, 2024, 7.0 million and 3.4 million shares, respectively, would have been considered dilutive if the Company had not been in a loss from continuing operations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43.4 million and 42.8 million, respectively, of as-if converted shares related to the Convertible Preferred Stock were excluded from the diluted share count because they were antidilutive.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presents the basis for the EPS computations (in millions, except per share data): </w:t>
      </w:r>
    </w:p>
    <w:tbl>
      <w:tblPr>
        <w:tblW w:w="10205" w:type="dxa"/>
        <w:jc w:val="left"/>
        <w:tblInd w:w="0" w:type="dxa"/>
        <w:tblLayout w:type="fixed"/>
        <w:tblCellMar>
          <w:top w:w="28" w:type="dxa"/>
          <w:left w:w="28" w:type="dxa"/>
          <w:bottom w:w="28" w:type="dxa"/>
          <w:right w:w="28" w:type="dxa"/>
        </w:tblCellMar>
      </w:tblPr>
      <w:tblGrid>
        <w:gridCol w:w="5444"/>
        <w:gridCol w:w="146"/>
        <w:gridCol w:w="211"/>
        <w:gridCol w:w="571"/>
        <w:gridCol w:w="166"/>
        <w:gridCol w:w="146"/>
        <w:gridCol w:w="211"/>
        <w:gridCol w:w="571"/>
        <w:gridCol w:w="166"/>
        <w:gridCol w:w="146"/>
        <w:gridCol w:w="211"/>
        <w:gridCol w:w="571"/>
        <w:gridCol w:w="166"/>
        <w:gridCol w:w="146"/>
        <w:gridCol w:w="211"/>
        <w:gridCol w:w="631"/>
        <w:gridCol w:w="491"/>
      </w:tblGrid>
      <w:tr>
        <w:trPr/>
        <w:tc>
          <w:tcPr>
            <w:tcW w:w="5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discontinued operations, net of tax</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Dividends on Series A convertible preferred stock</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outstanding – basic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Dilutive effect of as-if converted 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Dilutive effect of equity-based awards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(loss)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Issued but Not Adopted</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September 2025, the Financial Accounting Standards Board (FASB) issued Accounting Standard Update (ASU) No. 2025-07, </w:t>
      </w:r>
      <w:r>
        <w:rPr>
          <w:rFonts w:ascii="Times New Roman" w:hAnsi="Times New Roman"/>
          <w:i/>
          <w:color w:val="000000"/>
          <w:sz w:val="20"/>
        </w:rPr>
        <w:t xml:space="preserve">Derivatives and Hedging (Topic 815) and Revenue from Contracts with Customers (Topic 606): Derivatives Scope Refinements and Scope Clarification for Share-Based Noncash Consideration from a Customer in a Revenue Contract. </w:t>
      </w:r>
      <w:r>
        <w:rPr>
          <w:rFonts w:ascii="Times New Roman" w:hAnsi="Times New Roman"/>
          <w:color w:val="000000"/>
          <w:sz w:val="20"/>
        </w:rPr>
        <w:t>The new guidance refines the scope of Topic 815 by providing clarification regarding the contracts subject to derivative accounting. The guidance also provides clarification under Topic 606 for share-based payments from a customer in a revenue contract. The guidance is effective for the Company on a prospective or modified retrospective basis, beginning January 1, 2027 for the interim and annual periods. Early adoption is permitted. The Company is currently evaluating the impact of the new guidance on the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 xml:space="preserve">Intangibles—Goodwill and Other—Internal-Use Software (Subtopic 350-40): Targeted Improvements to the Accounting for Internal-Use Software. </w:t>
      </w:r>
      <w:r>
        <w:rPr>
          <w:rFonts w:ascii="Times New Roman" w:hAnsi="Times New Roman"/>
          <w:color w:val="000000"/>
          <w:sz w:val="20"/>
        </w:rPr>
        <w:t>The new guidance modernizes the accounting for software costs and provides the following criteria for capitalization of software costs: (1) management has authorized and committed to funding the software project; and (2) it is probable that the project will be completed and the software will be used to perform the function intended. The guidance is effective for the Company on a prospective, modified prospective or retrospective basis, beginning January 1, 2028 for the interim and annual periods. Early adoption is permitted. The Company is currently evaluating the impact of the new guidance on the condensed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 xml:space="preserve">Financial Instruments—Credit Losses (Topic 326): Measurement of Credit Losses for Accounts Receivable and Contract Assets. </w:t>
      </w:r>
      <w:r>
        <w:rPr>
          <w:rFonts w:ascii="Times New Roman" w:hAnsi="Times New Roman"/>
          <w:color w:val="000000"/>
          <w:sz w:val="20"/>
        </w:rPr>
        <w:t>The new guidance is expected to provide decision-useful information to investors and other financial statement users while reducing the time and effort necessary to analyze and estimate credit losses for current accounts receivable and current contract assets. The amendments in this update introduce a practical expedient when applying the guidance related to the estimation of expected credit losses for current accounts receivable and current contract assets resulting from transactions arising from contracts with customers</w:t>
      </w:r>
      <w:r>
        <w:rPr>
          <w:rFonts w:ascii="Times New Roman" w:hAnsi="Times New Roman"/>
          <w:i/>
          <w:color w:val="000000"/>
          <w:sz w:val="20"/>
        </w:rPr>
        <w:t xml:space="preserve">. </w:t>
      </w:r>
      <w:r>
        <w:rPr>
          <w:rFonts w:ascii="Times New Roman" w:hAnsi="Times New Roman"/>
          <w:color w:val="000000"/>
          <w:sz w:val="20"/>
        </w:rPr>
        <w:t>The guidance is effective for the Company on a prospective basis, beginning January 1, 2026 for the interim and annual periods. Early adoption is permitted. The Company is currently evaluating the impact of the new guidance on the condensed consolidated financial statements.</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In May 2025, the FASB issued ASU No. 2025-04, </w:t>
      </w:r>
      <w:r>
        <w:rPr>
          <w:rFonts w:ascii="Times New Roman" w:hAnsi="Times New Roman"/>
          <w:i/>
          <w:color w:val="000000"/>
          <w:sz w:val="20"/>
        </w:rPr>
        <w:t xml:space="preserve">Compensation—Stock Compensation (Topic 718) and Revenue from Contracts with Customers (Topic 606): Clarifications to Share-Based Consideration Payable to a Customer. </w:t>
      </w:r>
      <w:r>
        <w:rPr>
          <w:rFonts w:ascii="Times New Roman" w:hAnsi="Times New Roman"/>
          <w:color w:val="000000"/>
          <w:sz w:val="20"/>
        </w:rPr>
        <w:t>The new guidance is intended to provide less diversity in practice and improve the decision usefulness and operability of the guidance for share-based consideration payable to a customer in conjunction with selling goods or services. The guidance provides clarification regarding the distinguishment between service conditions and performance conditions, as well as closer alignment with how forfeitures of share-based consideration with service conditions and forfeitures of share-based consideration with performance conditions affect the measurement of the transaction price. The guidance is effective for the Company on a retrospective or modified retrospective basis, beginning January 1, 2027 for the interim and annual periods. Early adoption is permitted. The Company had no share-based customer agreements as of September 30, 2025 and therefore, does not expect this guidance to have a material impact on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2024-04, </w:t>
      </w:r>
      <w:r>
        <w:rPr>
          <w:rFonts w:ascii="Times New Roman" w:hAnsi="Times New Roman"/>
          <w:i/>
          <w:color w:val="000000"/>
          <w:sz w:val="20"/>
        </w:rPr>
        <w:t>Debt—Debt with Conversion and Other Options (Subtopic 470-20): Induced Conversions of Convertible Debt Instruments.</w:t>
      </w:r>
      <w:r>
        <w:rPr>
          <w:rFonts w:ascii="Times New Roman" w:hAnsi="Times New Roman"/>
          <w:color w:val="000000"/>
          <w:sz w:val="20"/>
        </w:rPr>
        <w:t xml:space="preserve"> The new guidance improves the relevance and consistency in application of the induced conversion guidance in Subtopic 410-20. The amendments in this update clarify the requirements for determining whether settlements of convertible debt instruments should be accounted for as an induced conversion. The guidance also addresses the settlement of convertible debt instruments that are not currently convertible and provides additional clarification to assist stakeholders in applying the guidance. The guidance is effective for the Company on a prospective or retrospective basis, beginning January 1, 2026 for the interim and annual periods. Early adoption is permitted. The Company is currently evaluating the impact of the new guidance on the condensed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Clarifying the Effective Date. </w:t>
      </w:r>
      <w:r>
        <w:rPr>
          <w:rFonts w:ascii="Times New Roman" w:hAnsi="Times New Roman"/>
          <w:color w:val="000000"/>
          <w:sz w:val="20"/>
        </w:rPr>
        <w:t>The new guidance improves disclosures for expenses of public entities and addresses requests from investors for more detailed information about the types of expenses in commonly presented expense captions. Coupled with recent standards that enhanced the disaggregation of revenue and income tax information, the disaggregated expense information required by these amendments will enable investors to better understand the major components of an entity’s income statement. The guidance is effective for the Company on a prospective or retrospective basis, as of January 1, 2027 for the annual period. Early adoption is permitted. As this ASU relates to disclosures only, there will be no impact to CommScope’s results of operations and financial condition.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The new guidance is expected to improve income tax disclosures by requiring additional information related to the rate reconciliation and income taxes paid, including 1) consistent categories and greater disaggregation of information in the rate reconciliation and 2) disaggregation of income taxes paid by jurisdiction. The guidance is effective for the Company on a prospective or retroactive basis, beginning January 1, 2025 for the annual period. Early adoption is permitted. As this ASU relates to disclosures only, there will be no impact to CommScope’s results of operations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ACQUISITIONS</w:t>
      </w:r>
    </w:p>
    <w:p>
      <w:pPr>
        <w:pStyle w:val="TextBody"/>
        <w:bidi w:val="0"/>
        <w:spacing w:before="120" w:after="283"/>
        <w:jc w:val="left"/>
        <w:rPr>
          <w:rFonts w:ascii="Times New Roman" w:hAnsi="Times New Roman"/>
          <w:i/>
          <w:color w:val="252525"/>
          <w:sz w:val="20"/>
        </w:rPr>
      </w:pPr>
      <w:r>
        <w:rPr>
          <w:rFonts w:ascii="Times New Roman" w:hAnsi="Times New Roman"/>
          <w:i/>
          <w:color w:val="252525"/>
          <w:sz w:val="20"/>
        </w:rPr>
        <w:t>Casa:</w:t>
      </w:r>
    </w:p>
    <w:p>
      <w:pPr>
        <w:pStyle w:val="TextBody"/>
        <w:bidi w:val="0"/>
        <w:spacing w:before="120" w:after="283"/>
        <w:jc w:val="left"/>
        <w:rPr>
          <w:rFonts w:ascii="Times New Roman" w:hAnsi="Times New Roman"/>
          <w:color w:val="252525"/>
          <w:sz w:val="20"/>
        </w:rPr>
      </w:pPr>
      <w:r>
        <w:rPr>
          <w:rFonts w:ascii="Times New Roman" w:hAnsi="Times New Roman"/>
          <w:color w:val="252525"/>
          <w:sz w:val="20"/>
        </w:rPr>
        <w:t>On June 7, 2024, the Company acquired certain assets of Casa Systems, Inc. and its subsidiaries (Casa), which provides telecommunication infrastructure equipment and software-centric infrastructure solutions that allow cable service providers to deliver voice, video and data services over a single platform. The Company funded the purchase price of $45.1 million and settled certain assumed Casa Liabilities, with cash on hand.</w:t>
      </w:r>
    </w:p>
    <w:p>
      <w:pPr>
        <w:pStyle w:val="TextBody"/>
        <w:bidi w:val="0"/>
        <w:spacing w:before="240" w:after="283"/>
        <w:jc w:val="left"/>
        <w:rPr>
          <w:rFonts w:ascii="Times New Roman" w:hAnsi="Times New Roman"/>
          <w:color w:val="252525"/>
          <w:sz w:val="20"/>
        </w:rPr>
      </w:pPr>
      <w:r>
        <w:rPr>
          <w:rFonts w:ascii="Times New Roman" w:hAnsi="Times New Roman"/>
          <w:color w:val="252525"/>
          <w:sz w:val="20"/>
        </w:rPr>
        <w:t>For the nine months ended September 30, 2025, the Company completed its acquisition method of accounting in accordance with ASC Topic 805, Business Combinations, and made an adjustment to decrease the fair value of accounts receivable, net by $1.7 million with a corresponding increase of $1.7 million to goodwill. The fair value of accounts receivable, net is $3.5 million with a gross contractual amount of $12.2 million. The Company expects $8.7 million to be uncollectible.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DIVESTITURES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OWN Segment and DAS business unit:</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2025, the Company completed the previously announced sale of the OWN segment and the DAS business unit of the NICS segment to Amphenol, pursuant to the Purchase Agreement dated July 18, 2024, in exchange for net cash consideration of $2.0 billion</w:t>
      </w:r>
      <w:r>
        <w:rPr>
          <w:rFonts w:ascii="Times New Roman" w:hAnsi="Times New Roman"/>
          <w:color w:val="000000"/>
          <w:sz w:val="24"/>
        </w:rPr>
        <w:t>.</w:t>
      </w:r>
      <w:r>
        <w:rPr>
          <w:rFonts w:ascii="Times New Roman" w:hAnsi="Times New Roman"/>
          <w:color w:val="000000"/>
          <w:sz w:val="20"/>
        </w:rPr>
        <w:t xml:space="preserve"> The proceeds are net of $9.1 million of transaction expenses and $83.2 million of cash included in the assets sold.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OWN segment and DAS business unit qualified as “held for sale” per ASC 360-10 in the third quarter of 2024 and were classified as a discontinued operation per ASC 205-20, as the Company determined, qualitatively and quantitatively, that this transaction represented a strategic shift that would have a major effect on the Company’s operations and financial results. As such, activity directly attributable to the OWN segment and DAS business unit has been removed from continuing operations and presented in income from discontinued operations, net of income taxes, on the Condensed Consolidated Statements of Operations for all periods presented. In addition, all assets and liabilities of the OWN segment and DAS business unit were classified as assets and liabilities held for sale on the Condensed Consolidated Balance Sheets as of December 31, 2024. Upon the closing of the transaction on January 31, 2025, the Company recognized a gain of $492.1 million on the disposal of the OWN segment and DAS business unit, which is included in income from discontinued operations, net of income taxes, on the Condensed Consolidated Statements of Operations for the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transaction, the Company entered into several contractual arrangements with Amphenol, including a Transition Service Agreement (Amphenol TSA) (as described below under “Transition Service Agreements”), Manufacturing Supply Agreement (Amphenol MSA), Sales and Supply Agreement and a Master Professional Services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Amphenol MSA, the Company will continue to manufacture and supply certain products to the divested business. Under the terms of the Amphenol MSA, the Company is obligated to provide manufacturing services for a period of up to twelve months following the closing date of the transaction, unless earlier terminated by the parties. The agreement was entered into to facilitate the operational transition and ensure continuity of supply for Amphenol’s customers. Pursuant to the Amphenol MSA, the Company has acquired components directly from Amphenol and is also responsible for procuring certain components from suppliers for the manufacturing of finished goods at the direction of Amphenol. As the Company does not obtain control of these components before they are transferred to Amphenol, the Company accounts for revenue associated with such components on a net basis. For the three and nine months ended September 30, 2025, the Company recognized net revenues of $0.9 million and $4.9 million, respectively, under the Amphenol MSA presented within income from discontinued operations, net of income taxes, on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Sales and Supply Agreement and Master Professional Services Agreement, enable the companies to act as both a buyer and seller of each other’s products and services in instances where those offerings might be integral to the Company’s remaining operations. The Sales and Supply Agreement is effective for a term of thirty-six months and the Master Professional Services Agreement term is indefinite, unless either of the agreements are terminated early. The Company has evaluated these arrangements and concluded that while they represent ongoing business activity, they do not constitute a continuation of the disposed business. Accordingly, revenues and expenses generated from these agreements are presented within income (loss) from continuing operations on the Condensed Consolidated Statements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Home Networks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completed the sale of the Home business to Vantiva pursuant to the Call Option Agreement entered into on October 2, 2023 and the Purchase Agreement dated as of December 7, 2023, in exchange for (i) 134,704,669 shares of Vantiva common stock representing a 24.73% equity stake in Vantiva (determined on a fully diluted basis), (ii) $250,465 in cash (in addition to cash paid in exchange for the cash on the Home business companies’ balance sheets) and (iii) an earn-out of up to $100 million in the aggregate. The earn-out payments are contingent upon Vantiva achieving adjusted EBITDA equal to or greater than €400 million for one or more of Vantiva’s first five fiscal years following the closing of the transaction. The earn-out payment with respect to any fiscal year will be subject to an additional annual cap, the amount of which will depend on certain elections made by the Company following Vantiva reaching the €400 million adjusted EBITDA threshold for the first time, and on Vantiva’s maintenance of certain liquidity levels (after giving effect to such 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Home business qualified as “held for sale” per ASC 360-10 in the fourth quarter of 2023 and was classified as a discontinued operation per ASC 205-20, as the Company determined, qualitatively and quantitatively, that this transaction represented a strategic shift that would have a major effect on the Company’s operations and financial results. As such, activity directly attributable to the Home business has been removed from continuing operations and presented in income from discontinued operations, net of income taxes, on the Condensed Consolidated Statements of Operations for all periods presented. In addition, all assets and liabilities of the Home business were classified as assets and liabilities held for sale on the Condensed Consolidated Balance Sheets as of December 31, 2023. In connection with the “held for sale” classification, the Company recognized a loss on classification as held for sale of $203.4 million in the fourth quarter of 2023. Upon the closing of the transaction on January 9, 2024, the Company recognized an additional loss of $55.8 million on the disposal of the Home business for the nine months ended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the closing of the transaction, the Company entered into a Transition Service Agreement (Vantiva TSA), whereby the Company provides and receives certain post-closing support on a transitional basis (as described below under “Transition Service Agreements”), and a Supply Agreement with Vantiva (Vantiva Supply Agreement), whereby the Company sells certain retained inventory at cost, or market price if below cost, for a period of two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in Vantiva is accounted for using the equity method of accounting, and the carrying value of the investment is included in other noncurrent assets on the Condensed Consolidated Balance Sheets. The Company recognized a loss on its investment of $17.0 million during the nine months ended September 30, 2024, as a result of recording its proportionate share of loss on its equity investment, which is recorded on a one-quarter lag basis in income from discontinued operations, net of income taxes, on the Condensed Consolidated Statements of Operations beginning in the second quarter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2024, the Company recognized a loss on impairment of $17.2 million related to the Home business patents recorded in income from discontinued operations, net of income taxes, on the Condensed Consolidated Statements of Operations.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the summarized components of income (loss) from discontinued operations, net of income taxes, for the three months ended September 30, 2025 and 2024:</w:t>
      </w:r>
    </w:p>
    <w:tbl>
      <w:tblPr>
        <w:tblW w:w="10205" w:type="dxa"/>
        <w:jc w:val="left"/>
        <w:tblInd w:w="0" w:type="dxa"/>
        <w:tblLayout w:type="fixed"/>
        <w:tblCellMar>
          <w:top w:w="28" w:type="dxa"/>
          <w:left w:w="28" w:type="dxa"/>
          <w:bottom w:w="28" w:type="dxa"/>
          <w:right w:w="28" w:type="dxa"/>
        </w:tblCellMar>
      </w:tblPr>
      <w:tblGrid>
        <w:gridCol w:w="2253"/>
        <w:gridCol w:w="146"/>
        <w:gridCol w:w="211"/>
        <w:gridCol w:w="421"/>
        <w:gridCol w:w="166"/>
        <w:gridCol w:w="146"/>
        <w:gridCol w:w="211"/>
        <w:gridCol w:w="571"/>
        <w:gridCol w:w="166"/>
        <w:gridCol w:w="146"/>
        <w:gridCol w:w="211"/>
        <w:gridCol w:w="346"/>
        <w:gridCol w:w="146"/>
        <w:gridCol w:w="146"/>
        <w:gridCol w:w="211"/>
        <w:gridCol w:w="466"/>
        <w:gridCol w:w="166"/>
        <w:gridCol w:w="146"/>
        <w:gridCol w:w="211"/>
        <w:gridCol w:w="361"/>
        <w:gridCol w:w="146"/>
        <w:gridCol w:w="146"/>
        <w:gridCol w:w="211"/>
        <w:gridCol w:w="526"/>
        <w:gridCol w:w="166"/>
        <w:gridCol w:w="146"/>
        <w:gridCol w:w="211"/>
        <w:gridCol w:w="421"/>
        <w:gridCol w:w="166"/>
        <w:gridCol w:w="146"/>
        <w:gridCol w:w="211"/>
        <w:gridCol w:w="571"/>
        <w:gridCol w:w="291"/>
      </w:tblGrid>
      <w:tr>
        <w:trPr/>
        <w:tc>
          <w:tcPr>
            <w:tcW w:w="2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5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w:t>
              <w:br/>
              <w:t>   administrative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5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Amortization of purchased </w:t>
              <w:br/>
              <w:t>   intangible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25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(loss) from operations of </w:t>
              <w:br/>
              <w:t xml:space="preserve">   discontinued businesses before </w:t>
              <w:br/>
              <w:t>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Loss on disposal of discontinued </w:t>
              <w:br/>
              <w:t>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(loss) from discontinued </w:t>
              <w:br/>
              <w:t>   operations, net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the summarized components of income (loss) from discontinued operations, net of income taxes, for the nine months ended September 30, 2025 and 2024:</w:t>
      </w:r>
    </w:p>
    <w:tbl>
      <w:tblPr>
        <w:tblW w:w="10373" w:type="dxa"/>
        <w:jc w:val="left"/>
        <w:tblInd w:w="0" w:type="dxa"/>
        <w:tblLayout w:type="fixed"/>
        <w:tblCellMar>
          <w:top w:w="28" w:type="dxa"/>
          <w:left w:w="28" w:type="dxa"/>
          <w:bottom w:w="28" w:type="dxa"/>
          <w:right w:w="28" w:type="dxa"/>
        </w:tblCellMar>
      </w:tblPr>
      <w:tblGrid>
        <w:gridCol w:w="1526"/>
        <w:gridCol w:w="146"/>
        <w:gridCol w:w="211"/>
        <w:gridCol w:w="631"/>
        <w:gridCol w:w="166"/>
        <w:gridCol w:w="146"/>
        <w:gridCol w:w="211"/>
        <w:gridCol w:w="571"/>
        <w:gridCol w:w="166"/>
        <w:gridCol w:w="146"/>
        <w:gridCol w:w="211"/>
        <w:gridCol w:w="466"/>
        <w:gridCol w:w="166"/>
        <w:gridCol w:w="146"/>
        <w:gridCol w:w="211"/>
        <w:gridCol w:w="571"/>
        <w:gridCol w:w="166"/>
        <w:gridCol w:w="146"/>
        <w:gridCol w:w="211"/>
        <w:gridCol w:w="466"/>
        <w:gridCol w:w="166"/>
        <w:gridCol w:w="146"/>
        <w:gridCol w:w="211"/>
        <w:gridCol w:w="631"/>
        <w:gridCol w:w="166"/>
        <w:gridCol w:w="146"/>
        <w:gridCol w:w="211"/>
        <w:gridCol w:w="631"/>
        <w:gridCol w:w="166"/>
        <w:gridCol w:w="146"/>
        <w:gridCol w:w="211"/>
        <w:gridCol w:w="571"/>
        <w:gridCol w:w="291"/>
      </w:tblGrid>
      <w:tr>
        <w:trPr/>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2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Selling, general and </w:t>
              <w:br/>
              <w:t>   administrative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2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w:t>
              <w:br/>
              <w:t>   intangible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 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2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(expense), net </w:t>
            </w:r>
            <w:r>
              <w:rPr>
                <w:rFonts w:ascii="Times New Roman" w:hAnsi="Times New Roman"/>
                <w:color w:val="000000"/>
                <w:sz w:val="13"/>
              </w:rPr>
              <w:t>(2)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br/>
              <w:t>   of discontinued businesses</w:t>
              <w:br/>
              <w:t>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Gain (loss) on disposal of </w:t>
              <w:br/>
              <w:t xml:space="preserve">   discontinued operations </w:t>
              <w:br/>
              <w:t>   before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w:t>
              <w:br/>
              <w:t>   operations, net of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Cost of sales includes a charge of $19.5</w:t>
      </w:r>
      <w:r>
        <w:rPr>
          <w:color w:val="000000"/>
        </w:rPr>
        <w:t xml:space="preserve"> </w:t>
      </w:r>
      <w:r>
        <w:rPr>
          <w:rFonts w:ascii="Times New Roman" w:hAnsi="Times New Roman"/>
          <w:color w:val="000000"/>
          <w:sz w:val="20"/>
        </w:rPr>
        <w:t>million for excess and obsolete inventory related to the Home business during the nine months ended September 30, 2024.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pPr>
      <w:r>
        <w:rPr>
          <w:rFonts w:ascii="Times New Roman" w:hAnsi="Times New Roman"/>
          <w:color w:val="000000"/>
          <w:sz w:val="20"/>
        </w:rPr>
        <w:t>Other income (expense), net includes a loss on equity investment of $17.0</w:t>
      </w:r>
      <w:r>
        <w:rPr>
          <w:color w:val="000000"/>
        </w:rPr>
        <w:t xml:space="preserve"> </w:t>
      </w:r>
      <w:r>
        <w:rPr>
          <w:rFonts w:ascii="Times New Roman" w:hAnsi="Times New Roman"/>
          <w:color w:val="000000"/>
          <w:sz w:val="20"/>
        </w:rPr>
        <w:t>million for the nine months ended September 30, 2024.</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balance sheet information for assets and liabilities held for sale related to the discontinued operations:</w:t>
      </w:r>
    </w:p>
    <w:tbl>
      <w:tblPr>
        <w:tblW w:w="5588" w:type="dxa"/>
        <w:jc w:val="left"/>
        <w:tblInd w:w="0" w:type="dxa"/>
        <w:tblLayout w:type="fixed"/>
        <w:tblCellMar>
          <w:top w:w="28" w:type="dxa"/>
          <w:left w:w="28" w:type="dxa"/>
          <w:bottom w:w="28" w:type="dxa"/>
          <w:right w:w="28" w:type="dxa"/>
        </w:tblCellMar>
      </w:tblPr>
      <w:tblGrid>
        <w:gridCol w:w="3451"/>
        <w:gridCol w:w="146"/>
        <w:gridCol w:w="339"/>
        <w:gridCol w:w="1161"/>
        <w:gridCol w:w="4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1,349.2</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the details of the gain (loss) on disposal of the OWN segment and DAS business unit, collectively, and the Home business:</w:t>
      </w:r>
    </w:p>
    <w:tbl>
      <w:tblPr>
        <w:tblW w:w="8950" w:type="dxa"/>
        <w:jc w:val="left"/>
        <w:tblInd w:w="0" w:type="dxa"/>
        <w:tblLayout w:type="fixed"/>
        <w:tblCellMar>
          <w:top w:w="28" w:type="dxa"/>
          <w:left w:w="28" w:type="dxa"/>
          <w:bottom w:w="28" w:type="dxa"/>
          <w:right w:w="28" w:type="dxa"/>
        </w:tblCellMar>
      </w:tblPr>
      <w:tblGrid>
        <w:gridCol w:w="5181"/>
        <w:gridCol w:w="346"/>
        <w:gridCol w:w="296"/>
        <w:gridCol w:w="1099"/>
        <w:gridCol w:w="166"/>
        <w:gridCol w:w="146"/>
        <w:gridCol w:w="373"/>
        <w:gridCol w:w="932"/>
        <w:gridCol w:w="411"/>
      </w:tblGrid>
      <w:tr>
        <w:trPr/>
        <w:tc>
          <w:tcPr>
            <w:tcW w:w="5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OWN/DAS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9,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 received (net of cash acquired)</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shares issued to seller</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disposal consideration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net assets sold</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before income taxes and reclassification of</w:t>
              <w:br/>
              <w:t>   foreign currency translation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foreign currency translation</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disposal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disposal, net of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cash flows related to discontinued operations have not been segregated on the Condensed Consolidated Statements of Cash Flows, and accordingly, they include the results from continuing and discontinued operations. The following table summarizes the Company’s cash inflows related to the ongoing activities of the discontinued operations, including the Vantiva and Amphenol TSAs, as described below, and inventory sales resulting from the Vantiva Supply Agreement and Amphenol MSA, as described above:</w:t>
      </w:r>
    </w:p>
    <w:tbl>
      <w:tblPr>
        <w:tblW w:w="6394" w:type="dxa"/>
        <w:jc w:val="left"/>
        <w:tblInd w:w="0" w:type="dxa"/>
        <w:tblLayout w:type="fixed"/>
        <w:tblCellMar>
          <w:top w:w="28" w:type="dxa"/>
          <w:left w:w="28" w:type="dxa"/>
          <w:bottom w:w="28" w:type="dxa"/>
          <w:right w:w="28" w:type="dxa"/>
        </w:tblCellMar>
      </w:tblPr>
      <w:tblGrid>
        <w:gridCol w:w="4411"/>
        <w:gridCol w:w="146"/>
        <w:gridCol w:w="211"/>
        <w:gridCol w:w="466"/>
        <w:gridCol w:w="146"/>
        <w:gridCol w:w="146"/>
        <w:gridCol w:w="211"/>
        <w:gridCol w:w="466"/>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Vantiva TSA fees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Vantiva Supply Agreement and other inventory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Amphenol TSA fees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Amphenol MSA inventory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significant non-cash operating items of the discontinued operations included on the Condensed Consolidated Statements of Cash Flows:</w:t>
      </w:r>
    </w:p>
    <w:tbl>
      <w:tblPr>
        <w:tblW w:w="7154" w:type="dxa"/>
        <w:jc w:val="left"/>
        <w:tblInd w:w="0" w:type="dxa"/>
        <w:tblLayout w:type="fixed"/>
        <w:tblCellMar>
          <w:top w:w="28" w:type="dxa"/>
          <w:left w:w="28" w:type="dxa"/>
          <w:bottom w:w="28" w:type="dxa"/>
          <w:right w:w="28" w:type="dxa"/>
        </w:tblCellMar>
      </w:tblPr>
      <w:tblGrid>
        <w:gridCol w:w="4886"/>
        <w:gridCol w:w="146"/>
        <w:gridCol w:w="211"/>
        <w:gridCol w:w="631"/>
        <w:gridCol w:w="166"/>
        <w:gridCol w:w="146"/>
        <w:gridCol w:w="211"/>
        <w:gridCol w:w="466"/>
        <w:gridCol w:w="291"/>
      </w:tblGrid>
      <w:tr>
        <w:trPr/>
        <w:tc>
          <w:tcPr>
            <w:tcW w:w="4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8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OWN segment and DAS business unit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Home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 impairments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equity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Business Dispositions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OneCell: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completed the sale of its OneCell business to Amphenol, pursuant to a Purchase Agreement dated April 30, 2025. OneCell is an advanced in-building small cell solution designed to deliver seamless LTE and 5G connectivity across enterprise environments. The transaction involved the sale of certain assets and transfer of certain operations that were previously included within the RUCKUS segment. The disposal did not meet the criteria for classification as a discontinued operation under ASC 205-20 as it does not represent a strategic shift that has or will have a major effect on the Company’s operations and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received cash consideration of $7.4 million, net of $1.2 million of cash included in the assets sold.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 of the net assets disposed was $10.0 million, which included inventory, accounts receivable, property, plant and equipment, intangibles as well as accounts payable and certain accrued liabilities. In addition, the Company reclassified $2.2 million of cumulative translation loss related to disposed foreign operations from accumulated other comprehensive loss (AOCL) to earnings. A pretax loss on sale of $4.8 million was recognized and included in other on the Condensed Consolidated Statements of Operations for the three and nine months ended September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Transition Service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closing of the sales of the OWN segment and DAS business unit and the OneCell business, the Company entered into the Amphenol TSA. The terms of the Amphenol TSA vary based on the services provided thereunder, with the longest such term having a duration of twelve months, excluding certain services related to manufacturing facilities. The Amphenol TSA provides options to extend services for up to two renewal terms of three months each. For the three and nine months ended September 30, 2025, the Company recognized income of $8.4 million and $25.3 million, respectively, under the Amphenol TSA, which is included in transition service agreement income within income (loss) from continuing operations on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conjunction with the closing of the Home business transaction, the Company entered into the Vantiva TSA. The terms of the Vantiva TSA vary based on the services provided thereunder, with the longest such term having a duration of thirty-six months. The Vantiva TSA provides options to extend services for up to two renewal terms of six months each. Under the Vantiva TSA, the Company recognized income of $0.2 million and $2.3 million for the three and nine months ended September 30, 2025, respectively, and $4.4 million and $22.4 million for the three and nine months ended September 30, 2024, respectively, which is included in transition service agreement income within income (loss) from continuing operations on the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GOODWILL</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presents the activity in goodwill by reportable segment:</w:t>
      </w:r>
    </w:p>
    <w:tbl>
      <w:tblPr>
        <w:tblW w:w="10205" w:type="dxa"/>
        <w:jc w:val="left"/>
        <w:tblInd w:w="0" w:type="dxa"/>
        <w:tblLayout w:type="fixed"/>
        <w:tblCellMar>
          <w:top w:w="28" w:type="dxa"/>
          <w:left w:w="28" w:type="dxa"/>
          <w:bottom w:w="28" w:type="dxa"/>
          <w:right w:w="28" w:type="dxa"/>
        </w:tblCellMar>
      </w:tblPr>
      <w:tblGrid>
        <w:gridCol w:w="1072"/>
        <w:gridCol w:w="146"/>
        <w:gridCol w:w="211"/>
        <w:gridCol w:w="721"/>
        <w:gridCol w:w="146"/>
        <w:gridCol w:w="146"/>
        <w:gridCol w:w="250"/>
        <w:gridCol w:w="925"/>
        <w:gridCol w:w="166"/>
        <w:gridCol w:w="146"/>
        <w:gridCol w:w="211"/>
        <w:gridCol w:w="721"/>
        <w:gridCol w:w="146"/>
        <w:gridCol w:w="146"/>
        <w:gridCol w:w="287"/>
        <w:gridCol w:w="636"/>
        <w:gridCol w:w="146"/>
        <w:gridCol w:w="146"/>
        <w:gridCol w:w="211"/>
        <w:gridCol w:w="721"/>
        <w:gridCol w:w="146"/>
        <w:gridCol w:w="146"/>
        <w:gridCol w:w="250"/>
        <w:gridCol w:w="925"/>
        <w:gridCol w:w="166"/>
        <w:gridCol w:w="146"/>
        <w:gridCol w:w="211"/>
        <w:gridCol w:w="721"/>
        <w:gridCol w:w="194"/>
      </w:tblGrid>
      <w:tr>
        <w:trPr/>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Activity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September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Impairment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Foreign Exchange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Impairment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CCS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2,159.0</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RUCKUS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2,923.7</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balances of the OneCell business for periods prior to its disposition.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the Company recorded an additional $1.7 million of goodwill in the ANS segment related to the Casa acquisition.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REVENUE FROM CONTRACTS WITH CUSTOMERS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9 for the presentation of net sales by segment and geographic region.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Allowance for Doubtful Accounts</w:t>
      </w:r>
    </w:p>
    <w:tbl>
      <w:tblPr>
        <w:tblW w:w="8487" w:type="dxa"/>
        <w:jc w:val="left"/>
        <w:tblInd w:w="0" w:type="dxa"/>
        <w:tblLayout w:type="fixed"/>
        <w:tblCellMar>
          <w:top w:w="28" w:type="dxa"/>
          <w:left w:w="28" w:type="dxa"/>
          <w:bottom w:w="28" w:type="dxa"/>
          <w:right w:w="28" w:type="dxa"/>
        </w:tblCellMar>
      </w:tblPr>
      <w:tblGrid>
        <w:gridCol w:w="4486"/>
        <w:gridCol w:w="146"/>
        <w:gridCol w:w="211"/>
        <w:gridCol w:w="466"/>
        <w:gridCol w:w="166"/>
        <w:gridCol w:w="146"/>
        <w:gridCol w:w="211"/>
        <w:gridCol w:w="466"/>
        <w:gridCol w:w="166"/>
        <w:gridCol w:w="146"/>
        <w:gridCol w:w="211"/>
        <w:gridCol w:w="466"/>
        <w:gridCol w:w="166"/>
        <w:gridCol w:w="146"/>
        <w:gridCol w:w="211"/>
        <w:gridCol w:w="466"/>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Customer Contract Balances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the balance sheet location and amounts of contract assets, or unbilled accounts receivable, and contract liabilities, or deferred revenue, from contracts with customers:</w:t>
      </w:r>
    </w:p>
    <w:tbl>
      <w:tblPr>
        <w:tblW w:w="8862" w:type="dxa"/>
        <w:jc w:val="left"/>
        <w:tblInd w:w="0" w:type="dxa"/>
        <w:tblLayout w:type="fixed"/>
        <w:tblCellMar>
          <w:top w:w="28" w:type="dxa"/>
          <w:left w:w="28" w:type="dxa"/>
          <w:bottom w:w="28" w:type="dxa"/>
          <w:right w:w="28" w:type="dxa"/>
        </w:tblCellMar>
      </w:tblPr>
      <w:tblGrid>
        <w:gridCol w:w="2536"/>
        <w:gridCol w:w="146"/>
        <w:gridCol w:w="3226"/>
        <w:gridCol w:w="146"/>
        <w:gridCol w:w="319"/>
        <w:gridCol w:w="866"/>
        <w:gridCol w:w="146"/>
        <w:gridCol w:w="146"/>
        <w:gridCol w:w="306"/>
        <w:gridCol w:w="834"/>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Balance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accounts receivable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Accounts receivable, net of allowance </w:t>
              <w:br/>
              <w:t>   for doubtful accounts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current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contract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material changes to contract asset balances for the nine months ended September 30, 2025 as a result of changes in estimates or impairments. The change in the contract liability balance from December 31, 2024 to September 30, 2025 was primarily due to upfront support billings to be recognized over the support term. During the three and nine months ended September 30, 2025, the Company recognized $19.4 million and $84.8 million, respectively, of revenue related to contract liabilities recorded as of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SUPPLEMENTAL FINANCIAL STATEMENT INFORMATION</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Accounts Receivable</w:t>
      </w:r>
    </w:p>
    <w:tbl>
      <w:tblPr>
        <w:tblW w:w="5770" w:type="dxa"/>
        <w:jc w:val="left"/>
        <w:tblInd w:w="0" w:type="dxa"/>
        <w:tblLayout w:type="fixed"/>
        <w:tblCellMar>
          <w:top w:w="28" w:type="dxa"/>
          <w:left w:w="28" w:type="dxa"/>
          <w:bottom w:w="28" w:type="dxa"/>
          <w:right w:w="28" w:type="dxa"/>
        </w:tblCellMar>
      </w:tblPr>
      <w:tblGrid>
        <w:gridCol w:w="2776"/>
        <w:gridCol w:w="146"/>
        <w:gridCol w:w="268"/>
        <w:gridCol w:w="917"/>
        <w:gridCol w:w="166"/>
        <w:gridCol w:w="146"/>
        <w:gridCol w:w="306"/>
        <w:gridCol w:w="834"/>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trade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Inventories</w:t>
      </w:r>
    </w:p>
    <w:tbl>
      <w:tblPr>
        <w:tblW w:w="4815" w:type="dxa"/>
        <w:jc w:val="left"/>
        <w:tblInd w:w="0" w:type="dxa"/>
        <w:tblLayout w:type="fixed"/>
        <w:tblCellMar>
          <w:top w:w="28" w:type="dxa"/>
          <w:left w:w="28" w:type="dxa"/>
          <w:bottom w:w="28" w:type="dxa"/>
          <w:right w:w="28" w:type="dxa"/>
        </w:tblCellMar>
      </w:tblPr>
      <w:tblGrid>
        <w:gridCol w:w="1861"/>
        <w:gridCol w:w="146"/>
        <w:gridCol w:w="319"/>
        <w:gridCol w:w="866"/>
        <w:gridCol w:w="146"/>
        <w:gridCol w:w="146"/>
        <w:gridCol w:w="306"/>
        <w:gridCol w:w="834"/>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Accrued and Other Liabilities</w:t>
      </w:r>
    </w:p>
    <w:tbl>
      <w:tblPr>
        <w:tblW w:w="6885" w:type="dxa"/>
        <w:jc w:val="left"/>
        <w:tblInd w:w="0" w:type="dxa"/>
        <w:tblLayout w:type="fixed"/>
        <w:tblCellMar>
          <w:top w:w="28" w:type="dxa"/>
          <w:left w:w="28" w:type="dxa"/>
          <w:bottom w:w="28" w:type="dxa"/>
          <w:right w:w="28" w:type="dxa"/>
        </w:tblCellMar>
      </w:tblPr>
      <w:tblGrid>
        <w:gridCol w:w="3931"/>
        <w:gridCol w:w="146"/>
        <w:gridCol w:w="319"/>
        <w:gridCol w:w="866"/>
        <w:gridCol w:w="146"/>
        <w:gridCol w:w="146"/>
        <w:gridCol w:w="306"/>
        <w:gridCol w:w="834"/>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employee benefit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accrual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and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Lease Information</w:t>
      </w:r>
    </w:p>
    <w:p>
      <w:pPr>
        <w:pStyle w:val="TextBody"/>
        <w:bidi w:val="0"/>
        <w:jc w:val="left"/>
        <w:rPr/>
      </w:pPr>
      <w:r>
        <w:rPr/>
        <w:t> </w:t>
      </w:r>
    </w:p>
    <w:tbl>
      <w:tblPr>
        <w:tblW w:w="7876" w:type="dxa"/>
        <w:jc w:val="left"/>
        <w:tblInd w:w="0" w:type="dxa"/>
        <w:tblLayout w:type="fixed"/>
        <w:tblCellMar>
          <w:top w:w="28" w:type="dxa"/>
          <w:left w:w="28" w:type="dxa"/>
          <w:bottom w:w="28" w:type="dxa"/>
          <w:right w:w="28" w:type="dxa"/>
        </w:tblCellMar>
      </w:tblPr>
      <w:tblGrid>
        <w:gridCol w:w="2446"/>
        <w:gridCol w:w="2476"/>
        <w:gridCol w:w="146"/>
        <w:gridCol w:w="319"/>
        <w:gridCol w:w="866"/>
        <w:gridCol w:w="146"/>
        <w:gridCol w:w="146"/>
        <w:gridCol w:w="306"/>
        <w:gridCol w:w="834"/>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247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noncurrent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current</w:t>
            </w:r>
          </w:p>
        </w:tc>
        <w:tc>
          <w:tcPr>
            <w:tcW w:w="247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and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noncurrent</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4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00"/>
        <w:jc w:val="left"/>
        <w:rPr>
          <w:rFonts w:ascii="Times New Roman" w:hAnsi="Times New Roman"/>
          <w:sz w:val="20"/>
        </w:rPr>
      </w:pPr>
      <w:r>
        <w:rPr>
          <w:rFonts w:ascii="Times New Roman" w:hAnsi="Times New Roman"/>
          <w:b/>
          <w:color w:val="000000"/>
          <w:sz w:val="20"/>
        </w:rPr>
        <w:t>Accumulated Other Comprehensive Loss</w:t>
      </w:r>
      <w:r>
        <w:rPr>
          <w:rFonts w:ascii="Times New Roman" w:hAnsi="Times New Roman"/>
          <w:color w:val="000000"/>
          <w:sz w:val="20"/>
        </w:rPr>
        <w:t xml:space="preserve"> </w:t>
      </w:r>
      <w:r>
        <w:rPr>
          <w:rFonts w:ascii="Times New Roman" w:hAnsi="Times New Roman"/>
          <w:b/>
          <w:color w:val="000000"/>
          <w:sz w:val="20"/>
        </w:rPr>
        <w:t>(AOCL)</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presents changes in AOCL, net of tax:</w:t>
      </w:r>
    </w:p>
    <w:tbl>
      <w:tblPr>
        <w:tblW w:w="7632" w:type="dxa"/>
        <w:jc w:val="left"/>
        <w:tblInd w:w="0" w:type="dxa"/>
        <w:tblLayout w:type="fixed"/>
        <w:tblCellMar>
          <w:top w:w="28" w:type="dxa"/>
          <w:left w:w="28" w:type="dxa"/>
          <w:bottom w:w="28" w:type="dxa"/>
          <w:right w:w="28" w:type="dxa"/>
        </w:tblCellMar>
      </w:tblPr>
      <w:tblGrid>
        <w:gridCol w:w="2971"/>
        <w:gridCol w:w="146"/>
        <w:gridCol w:w="211"/>
        <w:gridCol w:w="631"/>
        <w:gridCol w:w="166"/>
        <w:gridCol w:w="146"/>
        <w:gridCol w:w="211"/>
        <w:gridCol w:w="631"/>
        <w:gridCol w:w="166"/>
        <w:gridCol w:w="146"/>
        <w:gridCol w:w="211"/>
        <w:gridCol w:w="631"/>
        <w:gridCol w:w="166"/>
        <w:gridCol w:w="146"/>
        <w:gridCol w:w="211"/>
        <w:gridCol w:w="631"/>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Foreign currency translation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Defined benefit plan activity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AOCL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$2.2 million of foreign currency translation related to the divestiture of the OneCell business was reclassified from net AOCL and recorded in other on the Condensed Consolidated Statements of Operations. During the nine months ended September 30, 2025 and 2024, $97.9 million and $27.4 million, respectively, of foreign currency translation related to the divestitures of the Company’s discontinued operations were reclassified from net AOCL and recorded in the gain (loss) on disposal of discontinued operations before income taxes, included in income from discontinued operations, net of income taxes, on the Condensed Consolidated Statements of Operations. See Note 3 for further discussion of the Company’s divestitures.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Flow Information</w:t>
      </w:r>
    </w:p>
    <w:tbl>
      <w:tblPr>
        <w:tblW w:w="5989" w:type="dxa"/>
        <w:jc w:val="left"/>
        <w:tblInd w:w="0" w:type="dxa"/>
        <w:tblLayout w:type="fixed"/>
        <w:tblCellMar>
          <w:top w:w="28" w:type="dxa"/>
          <w:left w:w="28" w:type="dxa"/>
          <w:bottom w:w="28" w:type="dxa"/>
          <w:right w:w="28" w:type="dxa"/>
        </w:tblCellMar>
      </w:tblPr>
      <w:tblGrid>
        <w:gridCol w:w="3796"/>
        <w:gridCol w:w="146"/>
        <w:gridCol w:w="211"/>
        <w:gridCol w:w="571"/>
        <w:gridCol w:w="146"/>
        <w:gridCol w:w="146"/>
        <w:gridCol w:w="211"/>
        <w:gridCol w:w="57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 method investment from divestiture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7. FINANCING</w:t>
      </w:r>
    </w:p>
    <w:tbl>
      <w:tblPr>
        <w:tblW w:w="7090" w:type="dxa"/>
        <w:jc w:val="left"/>
        <w:tblInd w:w="0" w:type="dxa"/>
        <w:tblLayout w:type="fixed"/>
        <w:tblCellMar>
          <w:top w:w="28" w:type="dxa"/>
          <w:left w:w="28" w:type="dxa"/>
          <w:bottom w:w="28" w:type="dxa"/>
          <w:right w:w="28" w:type="dxa"/>
        </w:tblCellMar>
      </w:tblPr>
      <w:tblGrid>
        <w:gridCol w:w="4096"/>
        <w:gridCol w:w="146"/>
        <w:gridCol w:w="268"/>
        <w:gridCol w:w="917"/>
        <w:gridCol w:w="166"/>
        <w:gridCol w:w="146"/>
        <w:gridCol w:w="258"/>
        <w:gridCol w:w="882"/>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7.125% senior notes due July 2028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 senior notes due March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8.25% senior notes due March 2027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9.50% senior secured notes due December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4.75% senior secured notes due September 2029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 senior secured notes due 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due December 2029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amount of debt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9,358.5</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Original issue discount,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issuance costs, net of amortization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9,238.4</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the Company used the proceeds from the sale of the OWN segment and DAS business unit to pay fees and expenses associated with the transaction and to repay the outstanding amount of $250.0 million under the Company’s asset-based revolving credit facility (the Revolving Credit Facility). In addition, in February 2025, the Company repurchased $299.0 million in aggregate principal amount of the 4.75% senior secured notes due September 2029 (the 2029 Secured Notes) and repurchased in full the $1,500.0 million outstanding amount of the 6.00% senior secured notes due March 2026 (the 2026 Secured Notes) with the proceeds from the sale. Following the repurchases, $951.0 million in aggregate principal amount of the 2029 Secured Notes remain outstanding, and the indenture governing the 2026 Secured Notes was satisfied and discharged. Following the consummation of the repurchases in February 2025, the conditions precedent were met for a 25 basis point reduction in the applicable margin on the senior secured term loan due December 2029 (the 2029 Term Loan). In connection with the repayment of all outstanding amounts under the Revolving Credit Facility in January 2025, the committed amount thereunder was reduced to $750.0 million, subject to borrowing base limitations.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the Company incurred $6.8 million of additional debt issuance costs related to its refinancing completed in December 2024. Debt issuance costs of $5.7 million were recorded as a reduction of the carrying amount of the debt, and $1.1 million were included in other income (expense), net on the Condensed Consolidated Statements of Operations for the nine months ended September 30, 2025. For the nine months ended September 30, 2025, the Company wrote-off $7.3 million of existing debt issuance costs associated with the repurchases of the 2029 Secured Notes and the 2026 Secured Notes, and the reduction in the borrowing capacity under the Revolving Credit Facility, as discussed above, which were included as interest expense in the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Senior Secured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portion of the 2029 Term Loan was reflected as a current portion of long-term debt as of September 30, 2025 related to the potentially required excess cash flow payment because no such payment is expected to be required. There is no excess cash flow payment required in 2025 related to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the Company borrowed $50.0 million and repaid $250.0 million under the Revolving Credit Facility and had availability of $576.5 million, after giving effect to borrowing base limitations and outstanding letters of credit.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Matters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scheduled maturities of long-term debt as of September 30, 2025:</w:t>
      </w:r>
    </w:p>
    <w:tbl>
      <w:tblPr>
        <w:tblW w:w="10205" w:type="dxa"/>
        <w:jc w:val="left"/>
        <w:tblInd w:w="0" w:type="dxa"/>
        <w:tblLayout w:type="fixed"/>
        <w:tblCellMar>
          <w:top w:w="28" w:type="dxa"/>
          <w:left w:w="28" w:type="dxa"/>
          <w:bottom w:w="28" w:type="dxa"/>
          <w:right w:w="28" w:type="dxa"/>
        </w:tblCellMar>
      </w:tblPr>
      <w:tblGrid>
        <w:gridCol w:w="2878"/>
        <w:gridCol w:w="146"/>
        <w:gridCol w:w="527"/>
        <w:gridCol w:w="866"/>
        <w:gridCol w:w="146"/>
        <w:gridCol w:w="146"/>
        <w:gridCol w:w="211"/>
        <w:gridCol w:w="346"/>
        <w:gridCol w:w="146"/>
        <w:gridCol w:w="146"/>
        <w:gridCol w:w="211"/>
        <w:gridCol w:w="721"/>
        <w:gridCol w:w="146"/>
        <w:gridCol w:w="146"/>
        <w:gridCol w:w="211"/>
        <w:gridCol w:w="571"/>
        <w:gridCol w:w="146"/>
        <w:gridCol w:w="146"/>
        <w:gridCol w:w="211"/>
        <w:gridCol w:w="721"/>
        <w:gridCol w:w="146"/>
        <w:gridCol w:w="146"/>
        <w:gridCol w:w="211"/>
        <w:gridCol w:w="721"/>
        <w:gridCol w:w="193"/>
      </w:tblGrid>
      <w:tr>
        <w:trPr/>
        <w:tc>
          <w:tcPr>
            <w:tcW w:w="2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Remainder of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Scheduled maturities of long-term debt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non-guarantor subsidiaries held approximately $1,408 million, or 18%, of total assets and $333 million, or 4%, of total liabilities as of September 30, 2025 and accounted for approximately $153 million, or 9%, and $443 million, or 10%, of net sales for the three and nine months ended September 30, 2025, respectively. During the nine months ended September 30, 2025, the Company implemented several changes to its non-guarantor subsidiary structure, which impacted the amount of total assets, liabilities and net sales attributable to these subsidiaries. All amounts presented exclude intercompany balances.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effective interest rate on outstanding borrowings, including the impact of the interest rate swap contracts and the amortization of debt issuance costs and original issue discount, was 8.30% and 8.09% as of September 30, 2025 and December 31, 2024,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consist primarily of cash and cash equivalents, trade receivables, trade payables, debt instruments, interest rate swap contracts and foreign currency contracts. For cash and cash equivalents, trade receivables and trade payables, the carrying amounts of these financial instruments as of September 30, 2025 and December 31, 2024 were considered representative of their fair values due to their short terms to maturity. The fair values of the Company’s debt instruments, interest rate swap contracts and foreign currency contracts were based on indicative quotes.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estimated fair values and valuation input levels of the Company’s debt instruments, interest rate swap contracts and foreign currency contracts as of September 30, 2025 and December 31, 2024, are as follows:</w:t>
      </w:r>
    </w:p>
    <w:p>
      <w:pPr>
        <w:pStyle w:val="TextBody"/>
        <w:bidi w:val="0"/>
        <w:jc w:val="left"/>
        <w:rPr/>
      </w:pPr>
      <w:r>
        <w:rPr/>
        <w:t> </w:t>
      </w:r>
    </w:p>
    <w:tbl>
      <w:tblPr>
        <w:tblW w:w="9399" w:type="dxa"/>
        <w:jc w:val="left"/>
        <w:tblInd w:w="0" w:type="dxa"/>
        <w:tblLayout w:type="fixed"/>
        <w:tblCellMar>
          <w:top w:w="28" w:type="dxa"/>
          <w:left w:w="28" w:type="dxa"/>
          <w:bottom w:w="28" w:type="dxa"/>
          <w:right w:w="28" w:type="dxa"/>
        </w:tblCellMar>
      </w:tblPr>
      <w:tblGrid>
        <w:gridCol w:w="3386"/>
        <w:gridCol w:w="246"/>
        <w:gridCol w:w="211"/>
        <w:gridCol w:w="721"/>
        <w:gridCol w:w="146"/>
        <w:gridCol w:w="146"/>
        <w:gridCol w:w="211"/>
        <w:gridCol w:w="721"/>
        <w:gridCol w:w="146"/>
        <w:gridCol w:w="146"/>
        <w:gridCol w:w="211"/>
        <w:gridCol w:w="721"/>
        <w:gridCol w:w="146"/>
        <w:gridCol w:w="146"/>
        <w:gridCol w:w="211"/>
        <w:gridCol w:w="721"/>
        <w:gridCol w:w="146"/>
        <w:gridCol w:w="146"/>
        <w:gridCol w:w="871"/>
      </w:tblGrid>
      <w:tr>
        <w:trPr/>
        <w:tc>
          <w:tcPr>
            <w:tcW w:w="33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Inputs</w:t>
            </w:r>
          </w:p>
        </w:tc>
      </w:tr>
      <w:tr>
        <w:trPr/>
        <w:tc>
          <w:tcPr>
            <w:tcW w:w="33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contracts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r>
      <w:tr>
        <w:trPr/>
        <w:tc>
          <w:tcPr>
            <w:tcW w:w="33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7.125% senior notes due 2028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3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5.00% senior notes due 2027</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8.25% senior notes due 2027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3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9.50% senior secured notes due 2031</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4.75% senior secured notes due 2029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3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6.00% senior secured notes due 2026</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Senior secured term loan due 2029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3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Senior secured revolving credit facility</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contracts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3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Non-Recurring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the Company recorded a gain on disposal of the OWN segment and DAS business unit in income from discontinued operations, net of income taxes, on the Condensed Consolidated Statements of Operations. The fair values were determined using Level 2 and Level 3 valuation inputs. See Note 3 in these unaudited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SEGMENTS AND 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brief description of the activities of the Company’s business segments:</w:t>
      </w:r>
    </w:p>
    <w:p>
      <w:pPr>
        <w:pStyle w:val="TextBody"/>
        <w:bidi w:val="0"/>
        <w:spacing w:before="120" w:after="283"/>
        <w:jc w:val="left"/>
        <w:rPr>
          <w:rFonts w:ascii="Times New Roman" w:hAnsi="Times New Roman"/>
          <w:sz w:val="20"/>
        </w:rPr>
      </w:pPr>
      <w:r>
        <w:rPr>
          <w:rFonts w:ascii="Times New Roman" w:hAnsi="Times New Roman"/>
          <w:b/>
          <w:color w:val="000000"/>
          <w:sz w:val="20"/>
        </w:rPr>
        <w:t>CCS</w:t>
      </w:r>
      <w:r>
        <w:rPr>
          <w:rFonts w:ascii="Times New Roman" w:hAnsi="Times New Roman"/>
          <w:color w:val="000000"/>
          <w:sz w:val="20"/>
        </w:rPr>
        <w:t xml:space="preserve"> - The segment provides fiber optic and copper connectivity and cable solutions for use in telecommunications, cable television, residential broadband networks, data centers and business enterprises.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fiber-to-the-distribution-point to homes, businesses and cell sites.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RUCKUS </w:t>
      </w:r>
      <w:r>
        <w:rPr>
          <w:rFonts w:ascii="Times New Roman" w:hAnsi="Times New Roman"/>
          <w:color w:val="000000"/>
          <w:sz w:val="20"/>
        </w:rPr>
        <w:t>- The segment provides wireless networks for enterprises and service providers. Product offerings include indoor cellular solutions such as indoor and outdoor Wi-Fi and LTE access points, access and aggregation switches; an Internet of Things suite, on-premises and cloud-based control and management systems; and software and software-as-a-service applications addressing security, location, reporting and analytics.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ANS - </w:t>
      </w:r>
      <w:r>
        <w:rPr>
          <w:rFonts w:ascii="Times New Roman" w:hAnsi="Times New Roman"/>
          <w:color w:val="000000"/>
          <w:sz w:val="20"/>
        </w:rPr>
        <w:t>The segment’s product solutions include cable modem termination systems, video infrastructure, public key infrastructure solutions, distribution and transmission equipment and cloud solutions that enable facility-based service providers to construct a state-of-the-art residential and metro distribution network.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1 for discussion of product shifts and divestitures impacting the Company’s operating and reportable segment structure.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provides summary financial information by reportable segment:</w:t>
      </w:r>
    </w:p>
    <w:tbl>
      <w:tblPr>
        <w:tblW w:w="6445" w:type="dxa"/>
        <w:jc w:val="left"/>
        <w:tblInd w:w="0" w:type="dxa"/>
        <w:tblLayout w:type="fixed"/>
        <w:tblCellMar>
          <w:top w:w="28" w:type="dxa"/>
          <w:left w:w="28" w:type="dxa"/>
          <w:bottom w:w="28" w:type="dxa"/>
          <w:right w:w="28" w:type="dxa"/>
        </w:tblCellMar>
      </w:tblPr>
      <w:tblGrid>
        <w:gridCol w:w="3391"/>
        <w:gridCol w:w="146"/>
        <w:gridCol w:w="268"/>
        <w:gridCol w:w="917"/>
        <w:gridCol w:w="146"/>
        <w:gridCol w:w="146"/>
        <w:gridCol w:w="258"/>
        <w:gridCol w:w="882"/>
        <w:gridCol w:w="2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Identifiable segment-related assets: </w:t>
            </w:r>
            <w:r>
              <w:rPr>
                <w:rFonts w:ascii="Times New Roman" w:hAnsi="Times New Roman"/>
                <w:color w:val="000000"/>
                <w:sz w:val="13"/>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RUCKUS </w:t>
            </w:r>
            <w:r>
              <w:rPr>
                <w:rFonts w:ascii="Times New Roman" w:hAnsi="Times New Roman"/>
                <w:color w:val="000000"/>
                <w:sz w:val="13"/>
              </w:rPr>
              <w:t>(2)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886.5</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segment-related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to total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Divested business assets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related to business segments largely include accounts receivable, inventories, property, plant and equipment, goodwill, intangible assets and certain limited other assets. All other items are reflected in corporate and other. Accounts receivable and inventory are ascribed based on underlying sales or activity. Property, plant and equipment are attributed to a particular business segment based on that item’s primary user and reflect an allocation of certain corporate-shared assets. Intangible assets and goodwill are largely directly associated with a particular reporting unit and attributed on that basis.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Includes activity of the OneCell business for periods prior to its disposition.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corporate and other line item above reflects assets related to the OWN segment and DAS business unit which were not transferred upon sale.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divested business assets line item above reflects certain inventory retained by the Company related to continuing involvement in divested businesses pursuant to the Vantiva Supply Agreement and the Amphenol MSA, as discussed in Note 3. Inventory related to the Home business was $14.5 million as of December 31, 2024. Inventory related to the OWN segment and DAS business unit was $16.5 million as of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organizes its business segments based on the nature of products and services offered. Segment information is presented on the same basis that the Company’s Chief Executive Officer, who is the chief operating decision-maker, uses to manage its segments, evaluate financial results and make key operating decisions. 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recurring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financial metrics are used to view operating trends, perform analytical comparisons and benchmark performance between periods and among geographic regions and monitor budget-to-actual variances on a monthly basis. To manage operations and make decisions regarding resource allocations, the Company’s chief operating decision-maker is regularly provided and reviews expense information at a consolidated level for each segment. Each segment has a manager responsible for executing the Company’s strategic initiatives.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net sales, cost of sales, total operating expenses, adjusted EBITDA, depreciation expense and additions to property, plant and equipment by reportable segment for the three months ended September 30, 2025:</w:t>
      </w:r>
    </w:p>
    <w:tbl>
      <w:tblPr>
        <w:tblW w:w="9401" w:type="dxa"/>
        <w:jc w:val="left"/>
        <w:tblInd w:w="0" w:type="dxa"/>
        <w:tblLayout w:type="fixed"/>
        <w:tblCellMar>
          <w:top w:w="28" w:type="dxa"/>
          <w:left w:w="28" w:type="dxa"/>
          <w:bottom w:w="28" w:type="dxa"/>
          <w:right w:w="28" w:type="dxa"/>
        </w:tblCellMar>
      </w:tblPr>
      <w:tblGrid>
        <w:gridCol w:w="4651"/>
        <w:gridCol w:w="146"/>
        <w:gridCol w:w="211"/>
        <w:gridCol w:w="721"/>
        <w:gridCol w:w="166"/>
        <w:gridCol w:w="146"/>
        <w:gridCol w:w="218"/>
        <w:gridCol w:w="593"/>
        <w:gridCol w:w="166"/>
        <w:gridCol w:w="146"/>
        <w:gridCol w:w="211"/>
        <w:gridCol w:w="571"/>
        <w:gridCol w:w="166"/>
        <w:gridCol w:w="146"/>
        <w:gridCol w:w="211"/>
        <w:gridCol w:w="72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RUCKUS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1,629.7</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Addback: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net sales, cost of sales, total operating expenses, adjusted EBITDA, depreciation expense and additions to property, plant and equipment by reportable segment for the three months ended September 30, 2024:</w:t>
      </w:r>
    </w:p>
    <w:tbl>
      <w:tblPr>
        <w:tblW w:w="10147" w:type="dxa"/>
        <w:jc w:val="left"/>
        <w:tblInd w:w="0" w:type="dxa"/>
        <w:tblLayout w:type="fixed"/>
        <w:tblCellMar>
          <w:top w:w="28" w:type="dxa"/>
          <w:left w:w="28" w:type="dxa"/>
          <w:bottom w:w="28" w:type="dxa"/>
          <w:right w:w="28" w:type="dxa"/>
        </w:tblCellMar>
      </w:tblPr>
      <w:tblGrid>
        <w:gridCol w:w="4096"/>
        <w:gridCol w:w="146"/>
        <w:gridCol w:w="211"/>
        <w:gridCol w:w="571"/>
        <w:gridCol w:w="166"/>
        <w:gridCol w:w="146"/>
        <w:gridCol w:w="263"/>
        <w:gridCol w:w="712"/>
        <w:gridCol w:w="166"/>
        <w:gridCol w:w="146"/>
        <w:gridCol w:w="211"/>
        <w:gridCol w:w="571"/>
        <w:gridCol w:w="166"/>
        <w:gridCol w:w="146"/>
        <w:gridCol w:w="279"/>
        <w:gridCol w:w="696"/>
        <w:gridCol w:w="166"/>
        <w:gridCol w:w="146"/>
        <w:gridCol w:w="211"/>
        <w:gridCol w:w="721"/>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RUCKUS</w:t>
            </w:r>
            <w:r>
              <w:rPr>
                <w:rFonts w:ascii="Times New Roman" w:hAnsi="Times New Roman"/>
                <w:color w:val="000000"/>
                <w:sz w:val="16"/>
              </w:rPr>
              <w:t>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 xml:space="preserve">and other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Addback: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(credits),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w:t>
              <w:br/>
              <w:t>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activity of the OneCell business for periods prior to its disposition.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corporate and other line item above reflects general corporate costs that were previously allocated to the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the Company’s remaining segments and partially offset by income from the Amphenol TSA.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net sales, cost of sales, total operating expenses, adjusted EBITDA, depreciation expense and additions to property, plant and equipment by reportable segment for the nine months ended September 30, 2025:</w:t>
      </w:r>
    </w:p>
    <w:tbl>
      <w:tblPr>
        <w:tblW w:w="10205" w:type="dxa"/>
        <w:jc w:val="left"/>
        <w:tblInd w:w="0" w:type="dxa"/>
        <w:tblLayout w:type="fixed"/>
        <w:tblCellMar>
          <w:top w:w="28" w:type="dxa"/>
          <w:left w:w="28" w:type="dxa"/>
          <w:bottom w:w="28" w:type="dxa"/>
          <w:right w:w="28" w:type="dxa"/>
        </w:tblCellMar>
      </w:tblPr>
      <w:tblGrid>
        <w:gridCol w:w="4011"/>
        <w:gridCol w:w="146"/>
        <w:gridCol w:w="211"/>
        <w:gridCol w:w="721"/>
        <w:gridCol w:w="166"/>
        <w:gridCol w:w="146"/>
        <w:gridCol w:w="262"/>
        <w:gridCol w:w="710"/>
        <w:gridCol w:w="166"/>
        <w:gridCol w:w="146"/>
        <w:gridCol w:w="211"/>
        <w:gridCol w:w="571"/>
        <w:gridCol w:w="166"/>
        <w:gridCol w:w="146"/>
        <w:gridCol w:w="321"/>
        <w:gridCol w:w="646"/>
        <w:gridCol w:w="166"/>
        <w:gridCol w:w="146"/>
        <w:gridCol w:w="211"/>
        <w:gridCol w:w="721"/>
        <w:gridCol w:w="215"/>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RUCKUS</w:t>
            </w:r>
            <w:r>
              <w:rPr>
                <w:rFonts w:ascii="Times New Roman" w:hAnsi="Times New Roman"/>
                <w:color w:val="000000"/>
                <w:sz w:val="16"/>
              </w:rPr>
              <w:t>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 xml:space="preserve">and other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4,130.0</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Addback: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2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w:t>
            </w:r>
          </w:p>
        </w:tc>
        <w:tc>
          <w:tcPr>
            <w:tcW w:w="2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w:t>
              <w:br/>
              <w: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activity of the OneCell business for periods prior to its disposition.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corporate and other line item above reflects general corporate costs that were previously allocated to the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the Company’s remaining segments and partially offset by income from the Amphenol TSA.</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net sales, cost of sales, total operating expenses, adjusted EBITDA, depreciation expense and additions to property, plant and equipment by reportable segment for the nine months ended September 30, 2024:</w:t>
      </w:r>
    </w:p>
    <w:tbl>
      <w:tblPr>
        <w:tblW w:w="10205" w:type="dxa"/>
        <w:jc w:val="left"/>
        <w:tblInd w:w="0" w:type="dxa"/>
        <w:tblLayout w:type="fixed"/>
        <w:tblCellMar>
          <w:top w:w="28" w:type="dxa"/>
          <w:left w:w="28" w:type="dxa"/>
          <w:bottom w:w="28" w:type="dxa"/>
          <w:right w:w="28" w:type="dxa"/>
        </w:tblCellMar>
      </w:tblPr>
      <w:tblGrid>
        <w:gridCol w:w="4021"/>
        <w:gridCol w:w="146"/>
        <w:gridCol w:w="211"/>
        <w:gridCol w:w="721"/>
        <w:gridCol w:w="166"/>
        <w:gridCol w:w="146"/>
        <w:gridCol w:w="261"/>
        <w:gridCol w:w="709"/>
        <w:gridCol w:w="166"/>
        <w:gridCol w:w="146"/>
        <w:gridCol w:w="211"/>
        <w:gridCol w:w="571"/>
        <w:gridCol w:w="166"/>
        <w:gridCol w:w="146"/>
        <w:gridCol w:w="275"/>
        <w:gridCol w:w="686"/>
        <w:gridCol w:w="166"/>
        <w:gridCol w:w="146"/>
        <w:gridCol w:w="211"/>
        <w:gridCol w:w="721"/>
        <w:gridCol w:w="213"/>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RUCKUS</w:t>
            </w:r>
            <w:r>
              <w:rPr>
                <w:rFonts w:ascii="Times New Roman" w:hAnsi="Times New Roman"/>
                <w:color w:val="000000"/>
                <w:sz w:val="16"/>
              </w:rPr>
              <w:t>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br/>
              <w:t xml:space="preserve">and other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3,036.7</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Addback: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21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activity of the OneCell business for periods prior to its disposition.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corporate and other line item above reflects general corporate costs that were previously allocated to the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the Company’s remaining segments and partially offset by income from the Amphenol TSA.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Sales to customers located outside of the U.S. comprised 25.1% and 27.4% of total net sales for the three and nine months ended September 30, 2025, respectively, compared to 34.0% and 34.6% of total net sales for the three and nine months ended September 30, 2024. Sales by geographic region, based on the destination of product shipments or service provided, were as follows:</w:t>
      </w:r>
    </w:p>
    <w:tbl>
      <w:tblPr>
        <w:tblW w:w="7505" w:type="dxa"/>
        <w:jc w:val="left"/>
        <w:tblInd w:w="0" w:type="dxa"/>
        <w:tblLayout w:type="fixed"/>
        <w:tblCellMar>
          <w:top w:w="28" w:type="dxa"/>
          <w:left w:w="28" w:type="dxa"/>
          <w:bottom w:w="28" w:type="dxa"/>
          <w:right w:w="28" w:type="dxa"/>
        </w:tblCellMar>
      </w:tblPr>
      <w:tblGrid>
        <w:gridCol w:w="2671"/>
        <w:gridCol w:w="146"/>
        <w:gridCol w:w="211"/>
        <w:gridCol w:w="721"/>
        <w:gridCol w:w="146"/>
        <w:gridCol w:w="146"/>
        <w:gridCol w:w="263"/>
        <w:gridCol w:w="712"/>
        <w:gridCol w:w="146"/>
        <w:gridCol w:w="146"/>
        <w:gridCol w:w="211"/>
        <w:gridCol w:w="571"/>
        <w:gridCol w:w="146"/>
        <w:gridCol w:w="146"/>
        <w:gridCol w:w="211"/>
        <w:gridCol w:w="72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RUCKUS</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Geographic Region: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1,629.7</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RUCKUS</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Geographic Region: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05" w:type="dxa"/>
        <w:jc w:val="left"/>
        <w:tblInd w:w="0" w:type="dxa"/>
        <w:tblLayout w:type="fixed"/>
        <w:tblCellMar>
          <w:top w:w="28" w:type="dxa"/>
          <w:left w:w="28" w:type="dxa"/>
          <w:bottom w:w="28" w:type="dxa"/>
          <w:right w:w="28" w:type="dxa"/>
        </w:tblCellMar>
      </w:tblPr>
      <w:tblGrid>
        <w:gridCol w:w="2671"/>
        <w:gridCol w:w="146"/>
        <w:gridCol w:w="211"/>
        <w:gridCol w:w="721"/>
        <w:gridCol w:w="146"/>
        <w:gridCol w:w="146"/>
        <w:gridCol w:w="263"/>
        <w:gridCol w:w="712"/>
        <w:gridCol w:w="146"/>
        <w:gridCol w:w="146"/>
        <w:gridCol w:w="211"/>
        <w:gridCol w:w="571"/>
        <w:gridCol w:w="146"/>
        <w:gridCol w:w="146"/>
        <w:gridCol w:w="211"/>
        <w:gridCol w:w="72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RUCKUS</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Geographic Region: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2,712.9</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4,130.0</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RUCKUS</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Geographic Region: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3,036.7</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activity of the OneCell business for periods prior to its disposition.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RESTRUCTURING COSTS (CREDITS),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Company’s net pretax restructuring activity included in restructuring costs (credits), net on the Condensed Consolidated Statements of Operations, by segment, was as follows:</w:t>
      </w:r>
    </w:p>
    <w:tbl>
      <w:tblPr>
        <w:tblW w:w="5638" w:type="dxa"/>
        <w:jc w:val="left"/>
        <w:tblInd w:w="0" w:type="dxa"/>
        <w:tblLayout w:type="fixed"/>
        <w:tblCellMar>
          <w:top w:w="28" w:type="dxa"/>
          <w:left w:w="28" w:type="dxa"/>
          <w:bottom w:w="28" w:type="dxa"/>
          <w:right w:w="28" w:type="dxa"/>
        </w:tblCellMar>
      </w:tblPr>
      <w:tblGrid>
        <w:gridCol w:w="1741"/>
        <w:gridCol w:w="146"/>
        <w:gridCol w:w="226"/>
        <w:gridCol w:w="387"/>
        <w:gridCol w:w="156"/>
        <w:gridCol w:w="156"/>
        <w:gridCol w:w="226"/>
        <w:gridCol w:w="451"/>
        <w:gridCol w:w="166"/>
        <w:gridCol w:w="146"/>
        <w:gridCol w:w="211"/>
        <w:gridCol w:w="466"/>
        <w:gridCol w:w="146"/>
        <w:gridCol w:w="146"/>
        <w:gridCol w:w="211"/>
        <w:gridCol w:w="466"/>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CCS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RUCKUS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5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balances of the OneCell business for periods prior to its disposition.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corporate and other line item above reflects general corporate restructuring costs that were previously allocated to the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the Company’s remaining segments and partially offset by income from the Amphenol TSA.</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Restructuring liabilities were included in the Company’s Condensed Consolidated Balance Sheets as follows:</w:t>
      </w:r>
    </w:p>
    <w:tbl>
      <w:tblPr>
        <w:tblW w:w="5370" w:type="dxa"/>
        <w:jc w:val="left"/>
        <w:tblInd w:w="0" w:type="dxa"/>
        <w:tblLayout w:type="fixed"/>
        <w:tblCellMar>
          <w:top w:w="28" w:type="dxa"/>
          <w:left w:w="28" w:type="dxa"/>
          <w:bottom w:w="28" w:type="dxa"/>
          <w:right w:w="28" w:type="dxa"/>
        </w:tblCellMar>
      </w:tblPr>
      <w:tblGrid>
        <w:gridCol w:w="2461"/>
        <w:gridCol w:w="146"/>
        <w:gridCol w:w="437"/>
        <w:gridCol w:w="748"/>
        <w:gridCol w:w="146"/>
        <w:gridCol w:w="146"/>
        <w:gridCol w:w="403"/>
        <w:gridCol w:w="692"/>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CommScope NEXT Restructuring Actions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In the first quarter of 2021, the Company announced and began implementing a business transformation initiative called CommScope NEXT. This initiative is designed to drive shareholder value through three pillars: profitable growth, operational efficiency and portfolio optimization. The activity within the liability established for CommScope NEXT restructuring actions was as follows:</w:t>
      </w:r>
    </w:p>
    <w:tbl>
      <w:tblPr>
        <w:tblW w:w="7901" w:type="dxa"/>
        <w:jc w:val="left"/>
        <w:tblInd w:w="0" w:type="dxa"/>
        <w:tblLayout w:type="fixed"/>
        <w:tblCellMar>
          <w:top w:w="28" w:type="dxa"/>
          <w:left w:w="28" w:type="dxa"/>
          <w:bottom w:w="28" w:type="dxa"/>
          <w:right w:w="28" w:type="dxa"/>
        </w:tblCellMar>
      </w:tblPr>
      <w:tblGrid>
        <w:gridCol w:w="3646"/>
        <w:gridCol w:w="146"/>
        <w:gridCol w:w="532"/>
        <w:gridCol w:w="1328"/>
        <w:gridCol w:w="166"/>
        <w:gridCol w:w="146"/>
        <w:gridCol w:w="211"/>
        <w:gridCol w:w="526"/>
        <w:gridCol w:w="166"/>
        <w:gridCol w:w="146"/>
        <w:gridCol w:w="211"/>
        <w:gridCol w:w="466"/>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Employee-Related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and 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received (paid)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Third-party indemnification receivable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and other non-cash items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(1) Reflects the reimbursement of other costs from a third-party, for which the Company is obligated to pay.</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CommScope NEXT actions to date have included the closure of manufacturing, administration and warehouse facilities, as well as headcount reductions in other manufacturing locations and engineering, marketing, sales and administrative functions, and asset impairments associated with restructuring-related actions. During the three and nine months ended September 30, 2025, additional expenses were recorded for employee-related costs for severance, as well as idle facility costs during the period. Other costs for the nine months ended September 30, 2025 included an asset impairment of $2.6 million for certain leased real estate and the sale of an owned facility. The Company recorded net proceeds of $9.8 million related to the facility sale, resulting in a pretax gain of $2.3 million.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has recognized restructuring charges of $201.4 million to date related to CommScope NEXT actions. The Company expects to make cash payments of $2.6 million during the remainder of 2025 and $1.9 million during 2026 to settle CommScope NEXT restructuring actions. Additional restructuring actions related to CommScope NEXT are expected to be identified, and the resulting charges and cash requirements could be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SERIES A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4, 2019, the Company issued and sold 1,000,000 shares of the Convertible Preferred Stock to Carlyle for $1.0 billion, or $1,000 per share, pursuant to an Investment Agreement between the Company and Carlyle, dated November 8, 2018. The Convertible Preferred Stock is convertible, at the option of the holders, at any time into shares of CommScope common stock at an initial conversion rate of 36.3636 shares of common stock per share of the Convertible Preferred Stock (equivalent to $27.50 per common share). The conversion rate is subject to customary antidilution and other adjustments. As of September 30, 2025, the Company had authorized 1,400,000 shares of the Convertible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During the three and nine months ended September 30, 2025 and 2024, the Company paid dividends in-kind of 17.3 million and $51.3 million, respectively, and $16.4 million and $48.6 million, respectively, which were recorded as additional Convertible Preferred Stock on the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The following narrative is an analysis of the three and nine months ended September 30, 2025 compared to the three and nine months ended September 30, 2024.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2024 (2024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below for more information about these non-GAAP financial measures, including our reasons for including the measures and material limitations with respect to the usefulness of the measures.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provider of infrastructure solutions for communication, data center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CommScope NEXT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2021, we have been engaged in a transformation initiative referred to as CommScope NEXT, which is designed to drive shareholder value through three pillars: profitable growth, operational efficiency and portfolio optimization. We believe these efforts are critical to making us more competitive and allowing us to invest in growth, de-leverage our indebtedness and maximize stockholder and other stakeholder value in the future. We continue to focus on driving operational efficiencies and other cost savings initiatives, as well as portfolio optimization, all of which is enabling us to take advantage of the recovery in demand that we started to see beginning in late 2024 and which has continued into 2025. We continue to analyze the impacts of the recently announced tariffs under the current U.S. administration; however, we believe we have a manageable plan in place to prepare for potential impacts with our flexible manufacturing footprint, broad supplier base and pricing strategy. Our approach of focusing on matters in our control has driven improved results in 2025 and will remain our focus for the remainder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incurred $1.8 million and $16.0 million of net restructuring costs and $20.0 million and $50.9 million of transaction, transformation and integration costs during the three and nine months ended September 30, 2025, respectively, primarily related to CommScope NEXT initiatives. We incurred $(0.9) million and $30.6 million of net restructuring costs (credits) and $19.5 million and $45.8 million of transaction, transformation and integration costs during the three and nine months ended September 30, 2024, respectively. We expect to continue to incur such costs during 2025 as we continue executing on CommScope NEXT initiatives, and the resulting charges and cash requirements could be material. For more discussion on risks, see Part I, Item 1A, “Risk Factors” in our 2024 Annual Report.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August 3, 2025, we entered into a definitive agreement (Agreement) with Amphenol Corporation, a Delaware corporation (Amphenol), pursuant to which Amphenol has agreed to acquire our Connectivity and Cable Solutions (CCS) segment in exchange for $10.5 billion in cash, to be paid by Amphenol upon closing. We expect net proceeds after fees and taxes to be approximately $10.0 billion. Following shareholder approval, which was obtained on October 16, 2025, the sale is expected to close within the first quarter of 2026, subject to customary closing conditions, including receipt of applicable regulatory approvals. The CCS segment provides wired infrastructure for data centers, enterprises and service providers on a global scale. In connection with the transaction and as required by the Agreement, we currently expect to repay or redeem our existing indebtedness on or shortly after the closing date. After repaying debt, redeeming preferred stock, and placing a modest amount of leverage on the remaining company, we expect to have excess cash, and we currently intend to distribute a substantial portion of this excess cash to our stockholders as a special dividend after the deal closes. Upon shareholder approval, the divestiture of the CCS segment met the “held for sale” criteria per Accounting Standard Codification (ASC) 360-10, </w:t>
      </w:r>
      <w:r>
        <w:rPr>
          <w:rFonts w:ascii="Times New Roman" w:hAnsi="Times New Roman"/>
          <w:i/>
          <w:color w:val="000000"/>
          <w:sz w:val="20"/>
        </w:rPr>
        <w:t>Impairment and Disposal of Long Lived Assets,</w:t>
      </w:r>
      <w:r>
        <w:rPr>
          <w:rFonts w:ascii="Times New Roman" w:hAnsi="Times New Roman"/>
          <w:color w:val="000000"/>
          <w:sz w:val="20"/>
        </w:rPr>
        <w:t xml:space="preserve"> in the fourth quarter of 2025, and we have determined that it represents a strategic shift that will have a major effect on our operations. As such, the results of operations directly attributable to the CCS segment will be reclassified to discontinued operations per ASC 205-20, </w:t>
      </w:r>
      <w:r>
        <w:rPr>
          <w:rFonts w:ascii="Times New Roman" w:hAnsi="Times New Roman"/>
          <w:i/>
          <w:color w:val="000000"/>
          <w:sz w:val="20"/>
        </w:rPr>
        <w:t>Presentation of Financial Statements – Discontinued Operations,</w:t>
      </w:r>
      <w:r>
        <w:rPr>
          <w:rFonts w:ascii="Times New Roman" w:hAnsi="Times New Roman"/>
          <w:color w:val="000000"/>
          <w:sz w:val="20"/>
        </w:rPr>
        <w:t xml:space="preserve"> on the Consolidated Statements of Operations, retrospectively for all periods presented beginning in the fourth quarter of 2025. In addition, the assets and liabilities will be presented separately on the Consolidated Balance Sheets for both current and prior periods beginning in the fourth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we completed the previously announced sale of our Outdoor Wireless Networks (OWN) segment and the Distributed Antenna Systems (DAS) business unit of our Networking, Intelligent Cellular &amp; Security Solutions (NICS) segment to Amphenol, pursuant to the Purchase Agreement dated July 18, 2024, in exchange for approximately $2.0 billion (net of transaction expense and cash acquired). The OWN segment and DAS business unit qualified as “held for sale” per ASC 360-10 in the third quarter of 2024 and were classified as discontinued operations per ASC 205-20, as we determined, qualitatively and quantitatively, that this transaction represented a strategic shift that would have a major effect on our operations and financial results. For all periods presented, amounts in these condensed consolidated financial statements have been recast to reflect the discontinuation of our OWN segment and DAS business unit in accordance with this guidance.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divesting the DAS business during the quarter ended March 31, 2025, we have changed the name of our NICS segment to RUCKUS, effective as of April 1, 2025. There were no changes to the composition of our operating or reportable segments, the financial information reviewed by the chief operating decision maker (CODM), or historical segment operating results as a result of this change. Certain historical transactions related to product shifts and divestitures occurring prior to the effective date of the name change are still being referred to as part of the NICS segment. Unless otherwise noted, the following discussions relate solely to our continuing operations. As a result, we are reporting financial performance based on the following remaining three operating segments: CCS, RUCKUS and Access Network Solutions (ANS). For further discussion of the discontinued operations related to our OWN segment, DAS business unit and Home Networks (Home) business, see Note 3 in the Notes to Unaudited Condensed Consolidated Financial Statements included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we completed the sale of our OneCell business to Amphenol, pursuant to a Purchase Agreement dated April 30, 2025. OneCell is an advanced in-building small cell solution designed to deliver seamless long-term evolution (LTE) and 5G connectivity across enterprise environments. The transaction involved the sale of certain assets and transfer of certain operations that were previously included within our RUCKUS segment. The disposal did not meet the criteria for classification as a discontinued operation under ASC 205-20, as it does not represent a strategic shift that has or will have a major effect on our operations and financial results. For further discussion of the disposition related to our OneCell business, see Note 3 in the Notes to Unaudited Condensed Consolidated Financial Statements included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we completed the sale of our Home segment and substantially all of the associated segment assets and liabilities (Home business) to Vantiva SA (Vantiva) pursuant to the Call Option Agreement entered into on October 2, 2023 and the Purchase Agreement dated as of December 7, 2023. In the fourth quarter of 2023, we determined our Home business qualified as “held for sale” and was classified as discontinued operations in accordance with accounting guidance.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continuing operations results include general corporate costs that were previously allocated to our OWN segment and DAS business unit. These indirect costs, reflected on the corporate and other line item within our segment information below, are classified as continuing operations, since they were not directly attributable to these discontinued operations. Beginning in the first quarter of 2025, the corporate and other costs related to our OWN segment and DAS business have been reallocated to our remaining segments and partially offset by income from our transition service agreement with Amphenol (Amphenol TSA).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1, 2025, management shifted a product line from its RUCKUS (formerly NICS) segment to its ANS segment to better align with how the businesses are managed. All prior period amounts have been recast to reflect these operating segment changes.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we refer to certain supplementary RemainCo financial measures, which reflect the results of the RUCKUS and ANS segments, in the aggregate, and exclude the results and performance of our CCS segment. RemainCo financial measures also exclude general corporate costs that were previously allocated to the OWN segment and DAS business as discussed above. The RemainCo segments and the CCS segment represent the business segments as currently managed and reported by our Company. Future results and the composition of any business divested in the future may vary and differ materially from the presentation of the RemainCo financial measures. See the Segment Results section below for the aggregation of our RemainCo financial measures.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critical accounting policies as disclosed in our 2024 Annual Report.</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COMPARISON OF RESULTS OF OPERATIONS FOR THE THREE AND NINE MONTHS ENDED SEPTEMBER 30, 2025 WITH THE THREE AND NINE MONTHS ENDED SEPTEMBER 30, 2024</w:t>
      </w:r>
    </w:p>
    <w:tbl>
      <w:tblPr>
        <w:tblW w:w="10205" w:type="dxa"/>
        <w:jc w:val="left"/>
        <w:tblInd w:w="0" w:type="dxa"/>
        <w:tblLayout w:type="fixed"/>
        <w:tblCellMar>
          <w:top w:w="28" w:type="dxa"/>
          <w:left w:w="28" w:type="dxa"/>
          <w:bottom w:w="28" w:type="dxa"/>
          <w:right w:w="28" w:type="dxa"/>
        </w:tblCellMar>
      </w:tblPr>
      <w:tblGrid>
        <w:gridCol w:w="2922"/>
        <w:gridCol w:w="146"/>
        <w:gridCol w:w="211"/>
        <w:gridCol w:w="721"/>
        <w:gridCol w:w="146"/>
        <w:gridCol w:w="146"/>
        <w:gridCol w:w="160"/>
        <w:gridCol w:w="627"/>
        <w:gridCol w:w="271"/>
        <w:gridCol w:w="146"/>
        <w:gridCol w:w="211"/>
        <w:gridCol w:w="721"/>
        <w:gridCol w:w="166"/>
        <w:gridCol w:w="146"/>
        <w:gridCol w:w="160"/>
        <w:gridCol w:w="627"/>
        <w:gridCol w:w="271"/>
        <w:gridCol w:w="146"/>
        <w:gridCol w:w="211"/>
        <w:gridCol w:w="721"/>
        <w:gridCol w:w="146"/>
        <w:gridCol w:w="146"/>
        <w:gridCol w:w="146"/>
        <w:gridCol w:w="571"/>
        <w:gridCol w:w="320"/>
      </w:tblGrid>
      <w:tr>
        <w:trPr/>
        <w:tc>
          <w:tcPr>
            <w:tcW w:w="2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5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 except per share amounts)</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RemainCo net sales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RemainCo operating income (loss) </w:t>
            </w:r>
            <w:r>
              <w:rPr>
                <w:rFonts w:ascii="Times New Roman" w:hAnsi="Times New Roman"/>
                <w:color w:val="000000"/>
                <w:sz w:val="13"/>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adjusted EBITDA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RemainCo adjusted EBITDA </w:t>
            </w:r>
            <w:r>
              <w:rPr>
                <w:rFonts w:ascii="Times New Roman" w:hAnsi="Times New Roman"/>
                <w:color w:val="000000"/>
                <w:sz w:val="13"/>
              </w:rPr>
              <w:t>(1) (2)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Diluted earnings (loss) from continuing </w:t>
              <w:br/>
              <w:t>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5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 except per share amounts)</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RemainCo net sales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RemainCo operating income (loss) </w:t>
            </w:r>
            <w:r>
              <w:rPr>
                <w:rFonts w:ascii="Times New Roman" w:hAnsi="Times New Roman"/>
                <w:color w:val="000000"/>
                <w:sz w:val="13"/>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adjusted EBITDA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RemainCo adjusted EBITDA </w:t>
            </w:r>
            <w:r>
              <w:rPr>
                <w:rFonts w:ascii="Times New Roman" w:hAnsi="Times New Roman"/>
                <w:color w:val="000000"/>
                <w:sz w:val="13"/>
              </w:rPr>
              <w:t>(1) (2)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from continuing</w:t>
              <w:br/>
              <w:t>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RemainCo financial measures reflect the results of the RUCKUS and ANS segments, in the aggregate, and exclude the results and performance of the CCS segment. RemainCo financial measures also exclude general corporate costs that were previously allocated to the OWN segment and DAS business unit as discussed above. See the Segment Results section below for the aggregation of our RemainCo financial measures.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See “Reconciliation of Non-GAAP Measures” in this Management’s Discussion and Analysis of Financial Condition and Results of Operations,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Net sales</w:t>
      </w:r>
    </w:p>
    <w:tbl>
      <w:tblPr>
        <w:tblW w:w="11766" w:type="dxa"/>
        <w:jc w:val="left"/>
        <w:tblInd w:w="0" w:type="dxa"/>
        <w:tblLayout w:type="fixed"/>
        <w:tblCellMar>
          <w:top w:w="28" w:type="dxa"/>
          <w:left w:w="28" w:type="dxa"/>
          <w:bottom w:w="28" w:type="dxa"/>
          <w:right w:w="28" w:type="dxa"/>
        </w:tblCellMar>
      </w:tblPr>
      <w:tblGrid>
        <w:gridCol w:w="1271"/>
        <w:gridCol w:w="246"/>
        <w:gridCol w:w="211"/>
        <w:gridCol w:w="721"/>
        <w:gridCol w:w="246"/>
        <w:gridCol w:w="246"/>
        <w:gridCol w:w="211"/>
        <w:gridCol w:w="721"/>
        <w:gridCol w:w="246"/>
        <w:gridCol w:w="246"/>
        <w:gridCol w:w="211"/>
        <w:gridCol w:w="571"/>
        <w:gridCol w:w="246"/>
        <w:gridCol w:w="246"/>
        <w:gridCol w:w="157"/>
        <w:gridCol w:w="504"/>
        <w:gridCol w:w="271"/>
        <w:gridCol w:w="146"/>
        <w:gridCol w:w="211"/>
        <w:gridCol w:w="721"/>
        <w:gridCol w:w="246"/>
        <w:gridCol w:w="246"/>
        <w:gridCol w:w="211"/>
        <w:gridCol w:w="721"/>
        <w:gridCol w:w="146"/>
        <w:gridCol w:w="146"/>
        <w:gridCol w:w="211"/>
        <w:gridCol w:w="721"/>
        <w:gridCol w:w="146"/>
        <w:gridCol w:w="146"/>
        <w:gridCol w:w="157"/>
        <w:gridCol w:w="504"/>
        <w:gridCol w:w="516"/>
      </w:tblGrid>
      <w:tr>
        <w:trPr/>
        <w:tc>
          <w:tcPr>
            <w:tcW w:w="1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3"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1,629.7</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4,130.0</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Domestic</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7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1,131.3</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color w:val="000000"/>
          <w:sz w:val="20"/>
        </w:rPr>
      </w:pPr>
      <w:r>
        <w:rPr>
          <w:rFonts w:ascii="Times New Roman" w:hAnsi="Times New Roman"/>
          <w:color w:val="000000"/>
          <w:sz w:val="20"/>
        </w:rPr>
        <w:t>Net sales for the three and nine months ended September 30, 2025 increased $547.5 million, or 50.6%, and $1,093.3 million, or 36.0%, respectively, compared to the prior year periods primarily driven by increased sales volumes. The increase in net sales for the three months ended September 30, 2025 was driven by higher net sales of $376.7 million in the CCS segment, $147.2 million in the ANS segment and $23.6 million in the RUCKUS segment. The increase in net sales for the nine months ended September 30, 2025 was driven by higher net sales of $643.2 million in the CCS segment, $311.3 million in the ANS segment and $138.8 million in the RUCKUS segment. For further details by segment, see “Segment Results” below.</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From a regional perspective, for the three months ended September 30, 2025 compared to the prior year period, net sales increased in the U.S. by $505.4 million, the Asia Pacific (APAC) region by $36.2 million and the Europe, Middle East and Africa (EMEA) region by $8.3 million, but decreased in the Caribbean and Latin America (CALA) region by $2.3 million and Canada by $0.1 million. For the nine months ended September 30, 2025 compared to the prior year period, net sales increased in the U.S. by $1,013.2 million, the APAC region by $46.0 million, the EMEA region by $26.8 million and Canada by $15.0 million, but decreased in the CALA region by $7.7 million. Net sales to customers located outside of the U.S. comprised 25.1% and 27.4%, respectively, of total net sales for the three and nine months ended September 30, 2025 compared to 34.0% and 34.6%, respectively, for the three and nine months ended September 30, 2024. Foreign exchange rate changes did not have a material impact on our net sales during the three or nine months ended September 30, 2025 compared to the prior year periods. For additional information on regional sales by segment, see “Segment Results” below and Note 9 in the Notes to Unaudited Condensed Consolidated Financial Statements included herein.</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Gross profit, TSA income, SG&amp;A expense and R&amp;D expense</w:t>
      </w:r>
    </w:p>
    <w:tbl>
      <w:tblPr>
        <w:tblW w:w="10205" w:type="dxa"/>
        <w:jc w:val="left"/>
        <w:tblInd w:w="0" w:type="dxa"/>
        <w:tblLayout w:type="fixed"/>
        <w:tblCellMar>
          <w:top w:w="28" w:type="dxa"/>
          <w:left w:w="28" w:type="dxa"/>
          <w:bottom w:w="28" w:type="dxa"/>
          <w:right w:w="28" w:type="dxa"/>
        </w:tblCellMar>
      </w:tblPr>
      <w:tblGrid>
        <w:gridCol w:w="1030"/>
        <w:gridCol w:w="246"/>
        <w:gridCol w:w="196"/>
        <w:gridCol w:w="511"/>
        <w:gridCol w:w="256"/>
        <w:gridCol w:w="146"/>
        <w:gridCol w:w="196"/>
        <w:gridCol w:w="511"/>
        <w:gridCol w:w="256"/>
        <w:gridCol w:w="146"/>
        <w:gridCol w:w="196"/>
        <w:gridCol w:w="511"/>
        <w:gridCol w:w="146"/>
        <w:gridCol w:w="146"/>
        <w:gridCol w:w="170"/>
        <w:gridCol w:w="491"/>
        <w:gridCol w:w="256"/>
        <w:gridCol w:w="146"/>
        <w:gridCol w:w="196"/>
        <w:gridCol w:w="646"/>
        <w:gridCol w:w="256"/>
        <w:gridCol w:w="146"/>
        <w:gridCol w:w="196"/>
        <w:gridCol w:w="646"/>
        <w:gridCol w:w="256"/>
        <w:gridCol w:w="146"/>
        <w:gridCol w:w="196"/>
        <w:gridCol w:w="511"/>
        <w:gridCol w:w="146"/>
        <w:gridCol w:w="146"/>
        <w:gridCol w:w="170"/>
        <w:gridCol w:w="491"/>
        <w:gridCol w:w="501"/>
      </w:tblGrid>
      <w:tr>
        <w:trPr/>
        <w:tc>
          <w:tcPr>
            <w:tcW w:w="10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8"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Gross profit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667.8</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435.1</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1,728.1</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1,129.2</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50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 a percent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0"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TSA income</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50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 a percent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SG&amp;A expense</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226.8</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636.6</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565.5</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50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 a percent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R&amp;D expense</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50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 a percent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 (net sales less 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by $232.7 million and $598.9 million for the three and nine months ended September 30, 2025, respectively, compared to the prior year periods primarily due to increased net sales volumes, partially offset by higher input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Transition service agreement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Transition service agreement (TSA) income is related to the TSA we entered into with Amphenol in conjunction with the closing of the transactions to divest of the OWN segment and DAS business unit and the OneCell business, as well as the TSA we entered into with Vantiva in conjunction with the closing of the transaction to divest of the Home business. Under the TSAs, we provide and receive certain post-closing support on a transitional basis. The TSAs have varying terms for duration, depending on the services provided thereunder, and provide for options to extend. As of the end of the third quarter of 2024, the majority of the Vantiva TSA services had ceased. For additional information related to the TSAs, see Note 3 in the Notes to Unaudited Condensed Consolidated Financial Statements included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selling, general and administrative (SG&amp;A) expense increased by $23.4 million and $71.1 million, respectively, compared to the prior year periods. The increase was primarily due to increased variable incentive compensation expense of $15.0 million and $33.6 million for the three and nine months ended September 30, 2025, respectively, and higher realization of savings from cost saving initiatives in the prior year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research and development (R&amp;D) expense increased by $17.3 million and $34.9 million, respectively, compared to the prior year periods. R&amp;D activities generally involve ensuring that our products are capable of meeting the evolving technological needs of our customers, bringing new products to market and modifying existing products to better serve our customers.</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Amortization of purchased intangible assets, Restructuring costs (credits), net and Other</w:t>
      </w:r>
    </w:p>
    <w:tbl>
      <w:tblPr>
        <w:tblW w:w="10205" w:type="dxa"/>
        <w:jc w:val="left"/>
        <w:tblInd w:w="0" w:type="dxa"/>
        <w:tblLayout w:type="fixed"/>
        <w:tblCellMar>
          <w:top w:w="28" w:type="dxa"/>
          <w:left w:w="28" w:type="dxa"/>
          <w:bottom w:w="28" w:type="dxa"/>
          <w:right w:w="28" w:type="dxa"/>
        </w:tblCellMar>
      </w:tblPr>
      <w:tblGrid>
        <w:gridCol w:w="1791"/>
        <w:gridCol w:w="146"/>
        <w:gridCol w:w="211"/>
        <w:gridCol w:w="466"/>
        <w:gridCol w:w="166"/>
        <w:gridCol w:w="146"/>
        <w:gridCol w:w="211"/>
        <w:gridCol w:w="466"/>
        <w:gridCol w:w="166"/>
        <w:gridCol w:w="146"/>
        <w:gridCol w:w="220"/>
        <w:gridCol w:w="441"/>
        <w:gridCol w:w="166"/>
        <w:gridCol w:w="146"/>
        <w:gridCol w:w="170"/>
        <w:gridCol w:w="491"/>
        <w:gridCol w:w="297"/>
        <w:gridCol w:w="146"/>
        <w:gridCol w:w="211"/>
        <w:gridCol w:w="571"/>
        <w:gridCol w:w="146"/>
        <w:gridCol w:w="146"/>
        <w:gridCol w:w="211"/>
        <w:gridCol w:w="571"/>
        <w:gridCol w:w="146"/>
        <w:gridCol w:w="146"/>
        <w:gridCol w:w="211"/>
        <w:gridCol w:w="526"/>
        <w:gridCol w:w="166"/>
        <w:gridCol w:w="146"/>
        <w:gridCol w:w="146"/>
        <w:gridCol w:w="526"/>
        <w:gridCol w:w="344"/>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4"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purchased</w:t>
              <w:br/>
              <w:t>   intangible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4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Restructuring costs (credits), </w:t>
              <w:br/>
              <w: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4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Amortization of purchased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amortization of purchased intangible assets was lower compared to the prior year periods because certain of our intangible assets became fully amortized.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costs (credits),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restructuring costs (credits) recorded during the three and nine months ended September 30, 2025 and 2024 were primarily related to CommScope NEXT. For the nine months ended September 30, 2025, our net restructuring costs included the sale of an owned facility. We recorded net proceeds of $9.8 million related to the facility sale, resulting in a pretax gain of $2.3 million. Excluding the pretax gain on the sale, our net restructuring costs were $1.8 million and $18.3 million, respectively, and we paid $3.2 million and $16.0 million, respectively, to settle restructuring liabilities. We expect to pay an additional $4.5 million through 2026 related to restructuring actions that have been initiated. Additional restructuring actions related to CommScope NEXT are expected to be identified, and the resulting charges and cash requirements could be 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the change in other represents the pretax loss of $4.8 million on the sale of our OneCell business to Amphenol, which was completed in May 2025. For additional information related to the disposal of our OneCell business, see Note 3 in the Notes to Unaudited Condensed Consolidated Financial Statements included herein.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Other income (expense), net</w:t>
      </w:r>
    </w:p>
    <w:tbl>
      <w:tblPr>
        <w:tblW w:w="10205" w:type="dxa"/>
        <w:jc w:val="left"/>
        <w:tblInd w:w="0" w:type="dxa"/>
        <w:tblLayout w:type="fixed"/>
        <w:tblCellMar>
          <w:top w:w="28" w:type="dxa"/>
          <w:left w:w="28" w:type="dxa"/>
          <w:bottom w:w="28" w:type="dxa"/>
          <w:right w:w="28" w:type="dxa"/>
        </w:tblCellMar>
      </w:tblPr>
      <w:tblGrid>
        <w:gridCol w:w="1831"/>
        <w:gridCol w:w="146"/>
        <w:gridCol w:w="211"/>
        <w:gridCol w:w="421"/>
        <w:gridCol w:w="166"/>
        <w:gridCol w:w="146"/>
        <w:gridCol w:w="211"/>
        <w:gridCol w:w="526"/>
        <w:gridCol w:w="166"/>
        <w:gridCol w:w="146"/>
        <w:gridCol w:w="220"/>
        <w:gridCol w:w="441"/>
        <w:gridCol w:w="166"/>
        <w:gridCol w:w="146"/>
        <w:gridCol w:w="146"/>
        <w:gridCol w:w="526"/>
        <w:gridCol w:w="308"/>
        <w:gridCol w:w="146"/>
        <w:gridCol w:w="211"/>
        <w:gridCol w:w="526"/>
        <w:gridCol w:w="166"/>
        <w:gridCol w:w="146"/>
        <w:gridCol w:w="211"/>
        <w:gridCol w:w="421"/>
        <w:gridCol w:w="166"/>
        <w:gridCol w:w="146"/>
        <w:gridCol w:w="211"/>
        <w:gridCol w:w="526"/>
        <w:gridCol w:w="166"/>
        <w:gridCol w:w="146"/>
        <w:gridCol w:w="146"/>
        <w:gridCol w:w="631"/>
        <w:gridCol w:w="317"/>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1"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Foreign currency loss</w:t>
      </w:r>
    </w:p>
    <w:p>
      <w:pPr>
        <w:pStyle w:val="TextBody"/>
        <w:bidi w:val="0"/>
        <w:jc w:val="left"/>
        <w:rPr>
          <w:rFonts w:ascii="Times New Roman" w:hAnsi="Times New Roman"/>
          <w:color w:val="000000"/>
          <w:sz w:val="20"/>
        </w:rPr>
      </w:pPr>
      <w:r>
        <w:rPr>
          <w:rFonts w:ascii="Times New Roman" w:hAnsi="Times New Roman"/>
          <w:color w:val="000000"/>
          <w:sz w:val="20"/>
        </w:rPr>
        <w:t>Foreign currency loss includes the net foreign currency gains and losses resulting from the settlement of receivables and payables, foreign currency contracts and short-term intercompany advances in a currency other than the subsidiary’s functional currency. The change in foreign currency loss for the three and nine months ended September 30, 2025 compared to the prior year periods was primarily driven by certain unhedged currencies.</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jc w:val="left"/>
        <w:rPr>
          <w:rFonts w:ascii="Times New Roman" w:hAnsi="Times New Roman"/>
          <w:color w:val="000000"/>
          <w:sz w:val="20"/>
        </w:rPr>
      </w:pPr>
      <w:r>
        <w:rPr>
          <w:rFonts w:ascii="Times New Roman" w:hAnsi="Times New Roman"/>
          <w:color w:val="000000"/>
          <w:sz w:val="20"/>
        </w:rPr>
        <w:t>The change in other income (expense), net for the three and nine months ended September 30, 2025 compared to the prior year periods was not significant. Included in other income (expense), net for the nine months ended September 30, 2025 is $1.1 million of debt issuance costs related to the debt refinancing transaction in December 2024.</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Interest expense, Interest income and Income taxes</w:t>
      </w:r>
    </w:p>
    <w:tbl>
      <w:tblPr>
        <w:tblW w:w="10205" w:type="dxa"/>
        <w:jc w:val="left"/>
        <w:tblInd w:w="0" w:type="dxa"/>
        <w:tblLayout w:type="fixed"/>
        <w:tblCellMar>
          <w:top w:w="28" w:type="dxa"/>
          <w:left w:w="28" w:type="dxa"/>
          <w:bottom w:w="28" w:type="dxa"/>
          <w:right w:w="28" w:type="dxa"/>
        </w:tblCellMar>
      </w:tblPr>
      <w:tblGrid>
        <w:gridCol w:w="1238"/>
        <w:gridCol w:w="146"/>
        <w:gridCol w:w="211"/>
        <w:gridCol w:w="631"/>
        <w:gridCol w:w="166"/>
        <w:gridCol w:w="146"/>
        <w:gridCol w:w="211"/>
        <w:gridCol w:w="631"/>
        <w:gridCol w:w="166"/>
        <w:gridCol w:w="146"/>
        <w:gridCol w:w="211"/>
        <w:gridCol w:w="526"/>
        <w:gridCol w:w="166"/>
        <w:gridCol w:w="146"/>
        <w:gridCol w:w="157"/>
        <w:gridCol w:w="504"/>
        <w:gridCol w:w="284"/>
        <w:gridCol w:w="146"/>
        <w:gridCol w:w="211"/>
        <w:gridCol w:w="631"/>
        <w:gridCol w:w="166"/>
        <w:gridCol w:w="146"/>
        <w:gridCol w:w="211"/>
        <w:gridCol w:w="631"/>
        <w:gridCol w:w="166"/>
        <w:gridCol w:w="146"/>
        <w:gridCol w:w="211"/>
        <w:gridCol w:w="571"/>
        <w:gridCol w:w="146"/>
        <w:gridCol w:w="146"/>
        <w:gridCol w:w="157"/>
        <w:gridCol w:w="504"/>
        <w:gridCol w:w="330"/>
      </w:tblGrid>
      <w:tr>
        <w:trPr/>
        <w:tc>
          <w:tcPr>
            <w:tcW w:w="1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1"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8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br/>
              <w:t>   benefit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28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3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 and Interest income</w:t>
      </w:r>
    </w:p>
    <w:p>
      <w:pPr>
        <w:pStyle w:val="TextBody"/>
        <w:bidi w:val="0"/>
        <w:spacing w:before="120" w:after="283"/>
        <w:jc w:val="left"/>
        <w:rPr>
          <w:rFonts w:ascii="Times New Roman" w:hAnsi="Times New Roman"/>
          <w:sz w:val="20"/>
        </w:rPr>
      </w:pPr>
      <w:r>
        <w:rPr>
          <w:rFonts w:ascii="Times New Roman" w:hAnsi="Times New Roman"/>
          <w:color w:val="000000"/>
          <w:sz w:val="20"/>
        </w:rPr>
        <w:t>Interest expense for the three and nine months ended September 30, 2025 decreased $13.4 million and $18.8 million, respectively, when compared to the prior year periods primarily as a result of lower outstanding debt balances associated with the repurchases of our 4.75% senior secured notes due September 2029 (2029 Secured Notes) and our 6.00% senior secured notes due March 2026 (2026 Secured Notes), and the repayment of the outstanding borrowings under our asset-based revolving credit facility (Revolving Credit Facility) in January 2025, as further discussed in Note 7 in the Notes to Unaudited Condensed Consolidated Financial Statements included herein. For the three and nine months ended September 30, 2025, these favorable impacts were partially offset by the unfavorable impact of the increased variable interest rate on our senior secured term loan due December 2029. In addition, for the nine months ended September 30, 2025, interest expense was unfavorably impacted by the write-off of $7.3 million of existing debt issuance costs related to the repurchases of our 2029 Secured Notes and 2026 Secured Notes, and the reduction in the borrowing capacity under our Revolving Credit Facility</w:t>
      </w:r>
      <w:r>
        <w:rPr>
          <w:rFonts w:ascii="Times New Roman" w:hAnsi="Times New Roman"/>
          <w:color w:val="212529"/>
          <w:sz w:val="20"/>
        </w:rPr>
        <w:t xml:space="preserve">. </w:t>
      </w:r>
      <w:r>
        <w:rPr>
          <w:rFonts w:ascii="Times New Roman" w:hAnsi="Times New Roman"/>
          <w:color w:val="000000"/>
          <w:sz w:val="20"/>
        </w:rPr>
        <w:t>Our weighted average effective interest rate on outstanding borrowings, including the impact of the interest rate swap contracts and the amortization of debt issuance costs and original issue discount, was 8.30% at September 30, 2025, 8.09% at December 31, 2024 and 7.09% at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interest expense and payments on our variable rate debt could increase if the Federal Reserve increases interest rates in the remainder of 2025. See Part II, Item 7A, “Quantitative and Qualitative Disclosure About Market Risk” in our 2024 Annual Report for further discussion of our interest rate risk.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President Trump signed into law the One Big Beautiful Bill Act (OBBBA). The OBBBA makes permanent key elements of the Tax Cuts and Jobs Act, including 100% bonus depreciation, domestic research cost expensing and expansions to the business interest expense limitation. We have evaluated the impacts of the newly enacted tax law and identified the required changes as a result of the OBBBA and such evaluations are reflected in these condensed consolidated financial statements for the three and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2025, we recognized income tax expense of $42.6 million on pretax income of $149.5 million and an income tax benefit of $250.1 million on pretax income of $175.9 million, respectively. Our income taxes were greater than the statutory rate of 21.0% for the three months ended September 30, 2025, primarily due to the impacts of U.S. anti-deferral provisions. Additionally, for the three months ended September 30, 2025, we recognized $9.0 million of tax benefit associated with a reduction to the valuation allowance recorded through the second quarter of 2025 related to current year federal and state interest limitation carryforwards. For the nine months ended September 30, 2025, our income taxes were less than the statutory rate of 21% due to the tax benefit related to federal tax credits, as well as $361.1 million of tax benefit associated with a tax planning strategy. Offsetting these benefits for the nine months ended September 30, 2025, were the unfavorable impacts of $41.0 million of an additional valuation allowance related to current year federal and state interest limitation carryforwards and U.S. anti-deferral provisions. For the three and nine months ended September 30, 2025, we used a discrete calculation to compute the net tax benefit associated with external interest. Using the estimated annual tax rate for this component of income would have produced significant variability in the estimated annual effective tax rate, and use of the discrete method for this component results in the best estimate of the estimated annual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we recognized income tax expense of $26.7 million on a pretax loss of $70.0 million and income tax expense of $41.6 million on a pretax loss of $354.3 million, respectively. Our income taxes for the three and nine months ended September 30, 2024, were unfavorably impacted by $35.9 million and $103.7 million, respectively, of additional valuation allowance related to current year federal and state interest limitation carryforwards and U.S. anti-deferral provisions, partially offset by tax benefits related to federal tax credits. For the three and nine months ended September 30, 2024, we used a discrete calculation to compute the net tax benefit associated with external interest. Using the estimated annual tax rate for this component of income would have produced significant variability in the estimated annual effective tax rate, and use of the discrete method for this component results in the best estimate of the estimated annual effective tax rate.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Segment Results</w:t>
      </w:r>
    </w:p>
    <w:tbl>
      <w:tblPr>
        <w:tblW w:w="10205" w:type="dxa"/>
        <w:jc w:val="left"/>
        <w:tblInd w:w="0" w:type="dxa"/>
        <w:tblLayout w:type="fixed"/>
        <w:tblCellMar>
          <w:top w:w="28" w:type="dxa"/>
          <w:left w:w="28" w:type="dxa"/>
          <w:bottom w:w="28" w:type="dxa"/>
          <w:right w:w="28" w:type="dxa"/>
        </w:tblCellMar>
      </w:tblPr>
      <w:tblGrid>
        <w:gridCol w:w="2377"/>
        <w:gridCol w:w="246"/>
        <w:gridCol w:w="211"/>
        <w:gridCol w:w="721"/>
        <w:gridCol w:w="146"/>
        <w:gridCol w:w="146"/>
        <w:gridCol w:w="156"/>
        <w:gridCol w:w="613"/>
        <w:gridCol w:w="146"/>
        <w:gridCol w:w="271"/>
        <w:gridCol w:w="146"/>
        <w:gridCol w:w="211"/>
        <w:gridCol w:w="721"/>
        <w:gridCol w:w="166"/>
        <w:gridCol w:w="146"/>
        <w:gridCol w:w="151"/>
        <w:gridCol w:w="593"/>
        <w:gridCol w:w="166"/>
        <w:gridCol w:w="271"/>
        <w:gridCol w:w="146"/>
        <w:gridCol w:w="211"/>
        <w:gridCol w:w="571"/>
        <w:gridCol w:w="146"/>
        <w:gridCol w:w="146"/>
        <w:gridCol w:w="146"/>
        <w:gridCol w:w="571"/>
        <w:gridCol w:w="146"/>
        <w:gridCol w:w="518"/>
      </w:tblGrid>
      <w:tr>
        <w:trPr/>
        <w:tc>
          <w:tcPr>
            <w:tcW w:w="23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4"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5"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8"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by segment: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RUCKUS </w:t>
            </w:r>
            <w:r>
              <w:rPr>
                <w:rFonts w:ascii="Times New Roman" w:hAnsi="Times New Roman"/>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RemainCo net sales </w:t>
            </w:r>
            <w:r>
              <w:rPr>
                <w:rFonts w:ascii="Times New Roman" w:hAnsi="Times New Roman"/>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CCS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 by segment: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RUCKUS </w:t>
            </w:r>
            <w:r>
              <w:rPr>
                <w:rFonts w:ascii="Times New Roman" w:hAnsi="Times New Roman"/>
                <w:color w:val="000000"/>
                <w:sz w:val="13"/>
              </w:rPr>
              <w:t>(1)</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RemainCo operating income (loss) </w:t>
            </w:r>
            <w:r>
              <w:rPr>
                <w:rFonts w:ascii="Times New Roman" w:hAnsi="Times New Roman"/>
                <w:color w:val="000000"/>
                <w:sz w:val="13"/>
              </w:rPr>
              <w:t>(2)</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CCS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(3)</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operating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by segment: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RUCKUS </w:t>
            </w:r>
            <w:r>
              <w:rPr>
                <w:rFonts w:ascii="Times New Roman" w:hAnsi="Times New Roman"/>
                <w:color w:val="000000"/>
                <w:sz w:val="13"/>
              </w:rPr>
              <w:t>(1) (4)</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ANS </w:t>
            </w:r>
            <w:r>
              <w:rPr>
                <w:rFonts w:ascii="Times New Roman" w:hAnsi="Times New Roman"/>
                <w:color w:val="000000"/>
                <w:sz w:val="13"/>
              </w:rPr>
              <w:t>(4)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RemainCo adjusted EBITDA </w:t>
            </w:r>
            <w:r>
              <w:rPr>
                <w:rFonts w:ascii="Times New Roman" w:hAnsi="Times New Roman"/>
                <w:color w:val="000000"/>
                <w:sz w:val="13"/>
              </w:rPr>
              <w:t>(2) (4)</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CCS </w:t>
            </w:r>
            <w:r>
              <w:rPr>
                <w:rFonts w:ascii="Times New Roman" w:hAnsi="Times New Roman"/>
                <w:color w:val="000000"/>
                <w:sz w:val="13"/>
              </w:rPr>
              <w:t>(4)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(3)</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consolidated adjusted </w:t>
              <w:br/>
              <w:t xml:space="preserve">     EBITDA </w:t>
            </w:r>
            <w:r>
              <w:rPr>
                <w:rFonts w:ascii="Times New Roman" w:hAnsi="Times New Roman"/>
                <w:color w:val="000000"/>
                <w:sz w:val="13"/>
              </w:rPr>
              <w:t>(4)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Includes activity of the OneCell business for periods prior to its disposition.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RemainCo financial measures reflect the results of the RUCKUS and ANS segments, in the aggregate, and exclude the results and performance of the CCS segment. RemainCo financial measures also exclude general corporate costs that were previously allocated to the OWN segment and DAS business as discussed below in footnote (3) to this table.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corporate and other line item above reflects general corporate costs that were previously allocated to our OWN segment and DAS business unit. These indirect expenses have been classified as continuing operations, since the costs were not directly attributable to these discontinued operations. Beginning in the first quarter of 2025, the corporate and other costs related to our OWN segment and DAS business unit have been reallocated to our remaining segments and partially offset by income from the Amphenol TSA.</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See “Reconciliation of Non-GAAP Measures” within this Management’s Discussion and Analysis of Financial Condition and Results of Operations.</w:t>
      </w:r>
    </w:p>
    <w:p>
      <w:pPr>
        <w:pStyle w:val="TextBody"/>
        <w:bidi w:val="0"/>
        <w:spacing w:before="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363" w:type="dxa"/>
        <w:jc w:val="left"/>
        <w:tblInd w:w="0" w:type="dxa"/>
        <w:tblLayout w:type="fixed"/>
        <w:tblCellMar>
          <w:top w:w="28" w:type="dxa"/>
          <w:left w:w="28" w:type="dxa"/>
          <w:bottom w:w="28" w:type="dxa"/>
          <w:right w:w="28" w:type="dxa"/>
        </w:tblCellMar>
      </w:tblPr>
      <w:tblGrid>
        <w:gridCol w:w="1216"/>
        <w:gridCol w:w="346"/>
        <w:gridCol w:w="211"/>
        <w:gridCol w:w="721"/>
        <w:gridCol w:w="246"/>
        <w:gridCol w:w="246"/>
        <w:gridCol w:w="146"/>
        <w:gridCol w:w="571"/>
        <w:gridCol w:w="146"/>
        <w:gridCol w:w="271"/>
        <w:gridCol w:w="246"/>
        <w:gridCol w:w="211"/>
        <w:gridCol w:w="721"/>
        <w:gridCol w:w="266"/>
        <w:gridCol w:w="246"/>
        <w:gridCol w:w="146"/>
        <w:gridCol w:w="571"/>
        <w:gridCol w:w="266"/>
        <w:gridCol w:w="271"/>
        <w:gridCol w:w="246"/>
        <w:gridCol w:w="211"/>
        <w:gridCol w:w="721"/>
        <w:gridCol w:w="246"/>
        <w:gridCol w:w="246"/>
        <w:gridCol w:w="146"/>
        <w:gridCol w:w="721"/>
        <w:gridCol w:w="246"/>
        <w:gridCol w:w="516"/>
      </w:tblGrid>
      <w:tr>
        <w:trPr/>
        <w:tc>
          <w:tcPr>
            <w:tcW w:w="12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Sales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9"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by segment:</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RUCKUS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RemainCo net sales </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CCS</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2,712.9</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2,069.7</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 by segment: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RUCKUS </w:t>
            </w:r>
            <w:r>
              <w:rPr>
                <w:rFonts w:ascii="Times New Roman" w:hAnsi="Times New Roman"/>
                <w:color w:val="000000"/>
                <w:sz w:val="13"/>
              </w:rPr>
              <w:t>(1)</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RemainCo operating income (loss) </w:t>
            </w:r>
            <w:r>
              <w:rPr>
                <w:rFonts w:ascii="Times New Roman" w:hAnsi="Times New Roman"/>
                <w:color w:val="000000"/>
                <w:sz w:val="13"/>
              </w:rPr>
              <w:t>(2)</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26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6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6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CCS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(3)</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operating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by segment: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RUCKUS </w:t>
            </w:r>
            <w:r>
              <w:rPr>
                <w:rFonts w:ascii="Times New Roman" w:hAnsi="Times New Roman"/>
                <w:color w:val="000000"/>
                <w:sz w:val="13"/>
              </w:rPr>
              <w:t>(1) (4)</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2,098.0</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ANS </w:t>
            </w:r>
            <w:r>
              <w:rPr>
                <w:rFonts w:ascii="Times New Roman" w:hAnsi="Times New Roman"/>
                <w:color w:val="000000"/>
                <w:sz w:val="13"/>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RemainCo adjusted EBITDA </w:t>
            </w:r>
            <w:r>
              <w:rPr>
                <w:rFonts w:ascii="Times New Roman" w:hAnsi="Times New Roman"/>
                <w:color w:val="000000"/>
                <w:sz w:val="13"/>
              </w:rPr>
              <w:t>(2) (4)</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CCS </w:t>
            </w:r>
            <w:r>
              <w:rPr>
                <w:rFonts w:ascii="Times New Roman" w:hAnsi="Times New Roman"/>
                <w:color w:val="000000"/>
                <w:sz w:val="13"/>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(3)</w:t>
            </w:r>
          </w:p>
        </w:tc>
        <w:tc>
          <w:tcPr>
            <w:tcW w:w="3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Non-GAAP consolidated adjusted</w:t>
              <w:br/>
              <w:t xml:space="preserve">   EBITDA </w:t>
            </w:r>
            <w:r>
              <w:rPr>
                <w:rFonts w:ascii="Times New Roman" w:hAnsi="Times New Roman"/>
                <w:color w:val="000000"/>
                <w:sz w:val="13"/>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activity of the OneCell business for periods prior to its disposition.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RemainCo financial measures reflect the results of the RUCKUS and ANS segments, in the aggregate, and exclude the results and performance of the CCS segment. RemainCo financial measures also exclude general corporate costs that were previously allocated to the OWN segment and DAS business as discussed below in footnote (3) to this table.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corporate and other line item above reflects general corporate costs that were previously allocated to our OWN segment and DAS business unit. These indirect expenses have been classified as continuing operations, since the costs were not directly attributable to these discontinued operations. Beginning in the first quarter of 2025, the corporate and other costs related to our OWN segment and DAS business unit have been reallocated to our remaining segments and partially offset by income from the Amphenol TSA.</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See “Reconciliation of Non-GAAP Measures” within this Management’s Discussion and Analysis of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RUCKUS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RUCKUS segment net sales increased compared to the prior year periods primarily due to higher sales volumes and pricing. From a regional perspective, for the three months ended September 30, 2025, RUCKUS segment net sales increased in the EMEA region by $17.6 million, the APAC region by $10.6 million, the CALA region by $2.2 million and Canada by $0.5 million, but decreased in the U.S. by $7.3 million, compared to the prior year period. For the nine months ended September 30, 2025, RUCKUS segment net sales increased in the U.S. by $87.4 million, the EMEA region by $33.7 million, the APAC region by $14.2 million, the CALA region by $1.9 million and Canada by $1.7 million compared to the prior year period. Foreign exchange rate changes did not have a material impact on our RUCKUS segment net sales during the three or nine months ended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2025, RUCKUS segment operating income and adjusted EBITDA increased compared to the prior year periods primarily due to higher sales volumes and pricing, partially offset by higher SG&amp;A, R&amp;D and input costs. RUCKUS segment operating income for the nine months ended September 30, 2025, was unfavorably impacted by the pretax loss of $4.8 million on the sale of our OneCell business which is not reflected in adjusted EBITDA. See “Reconciliation of Segment Adjusted EBITDA”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Access Network Solutions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net sales increased in the ANS segment compared to the prior year periods primarily due to higher sales volumes in Access Technologies and Broadband Network Solutions. From a regional perspective, for the three months ended September 30, 2025, ANS segment net sales increased in the U.S. by $139.8 million, the APAC region by $5.6 million and the EMEA region by $3.1 million, but decreased in Canada by $1.3 million and had no change in the CALA region, compared to the prior year period. For the nine months ended September 30, 2025, ANS segment net sales increased in the U.S. by $282.5 million, the EMEA region by $18.4 million, the APAC region by $14.2 million and Canada by $2.8 million, but decreased in the CALA region by $6.6 million, compared to the prior year period. Foreign exchange rate changes did not have a material impact on our ANS segment net sales during the three or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2025, ANS segment operating income and adjusted EBITDA increased compared to the prior year periods primarily due to higher sales volumes, partially offset by unfavorable product mix, higher input costs and higher SG&amp;A and R&amp;D costs. For the three and nine months ended September 30, 2025, ANS segment operating income was favorably impacted by reductions in amortization expense of $2.0 million and $18.8 million, respectively, and reductions in transaction, transformation and integration costs of $5.4 million and 10.7 million, respectively. For the nine months ended September 30, 2025, ANS segment operating income was favorably impacted by a reduction in restructuring costs of $19.4 million. Amortization expense, transaction, transformation and integration costs and restructuring costs are not reflected in adjusted EBITDA. See “Reconciliation of Segment Adjusted EBITDA”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Connectivity and Cable Solutions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for the CCS segment increased for the three and nine months ended September 30, 2025 compared to the prior year periods primarily due to higher sales volumes in the Data Center business, partially offset by lower pricing. From a regional perspective, for the three months ended September 30, 2025, net sales increased in the U.S. by $372.9 million, the APAC region by $20.0 million, and Canada by $0.7 million, but decreased in the EMEA region by $12.4 million and the CALA region by $4.5 million, compared to the prior year period. For the nine months ended September 30, 2025, net sales increased in the U.S. by $643.4 million, the APAC region by $17.6 million and Canada by $10.5 million, but decreased in the EMEA region by $25.3 million and the CALA region by $3.0 million, compared to the prior year period. Foreign exchange rate changes did not have a material impact on our CCS segment net sales during the three or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2025, CCS segment operating income and adjusted EBITDA increased compared to the prior year periods primarily due to higher sales volumes and favorable product mix, partially offset by lower pricing and higher SG&amp;A and R&amp;D costs. For the nine months ended September 30, 2025, CCS segment operating income and adjusted EBITDA were also unfavorably impacted by higher input costs. CCS segment operating income for the three and nine months ended September 30, 2025 was unfavorably impacted by an increase in transaction, transformation and integration costs of $15.3 million and $29.7 million, respectively. Transaction, transformation and integration costs are not reflected in adjusted EBITDA. See “Reconciliation of Segment Adjusted EBITDA” below.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liquidity_capital_resources"/>
      <w:bookmarkEnd w:id="12"/>
      <w:r>
        <w:rPr>
          <w:rFonts w:ascii="Times New Roman" w:hAnsi="Times New Roman"/>
          <w:b/>
          <w:color w:val="000000"/>
          <w:sz w:val="20"/>
        </w:rPr>
        <w:t>LIQUIDITY AND CAPITAL RESOURCES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summarizes certain key measures of our liquidity and capital resources (in millions, except percentage data):</w:t>
      </w:r>
    </w:p>
    <w:tbl>
      <w:tblPr>
        <w:tblW w:w="10205" w:type="dxa"/>
        <w:jc w:val="left"/>
        <w:tblInd w:w="0" w:type="dxa"/>
        <w:tblLayout w:type="fixed"/>
        <w:tblCellMar>
          <w:top w:w="28" w:type="dxa"/>
          <w:left w:w="28" w:type="dxa"/>
          <w:bottom w:w="28" w:type="dxa"/>
          <w:right w:w="28" w:type="dxa"/>
        </w:tblCellMar>
      </w:tblPr>
      <w:tblGrid>
        <w:gridCol w:w="4451"/>
        <w:gridCol w:w="146"/>
        <w:gridCol w:w="266"/>
        <w:gridCol w:w="913"/>
        <w:gridCol w:w="271"/>
        <w:gridCol w:w="146"/>
        <w:gridCol w:w="257"/>
        <w:gridCol w:w="878"/>
        <w:gridCol w:w="271"/>
        <w:gridCol w:w="146"/>
        <w:gridCol w:w="211"/>
        <w:gridCol w:w="781"/>
        <w:gridCol w:w="166"/>
        <w:gridCol w:w="146"/>
        <w:gridCol w:w="146"/>
        <w:gridCol w:w="526"/>
        <w:gridCol w:w="166"/>
        <w:gridCol w:w="318"/>
      </w:tblGrid>
      <w:tr>
        <w:trPr/>
        <w:tc>
          <w:tcPr>
            <w:tcW w:w="4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and cash equivalents </w:t>
            </w:r>
            <w:r>
              <w:rPr>
                <w:rFonts w:ascii="Times New Roman" w:hAnsi="Times New Roman"/>
                <w:color w:val="000000"/>
                <w:sz w:val="13"/>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Working capital, net of assets and liabilities held for </w:t>
              <w:br/>
              <w:t xml:space="preserve">   sale </w:t>
            </w:r>
            <w:r>
              <w:rPr>
                <w:rFonts w:ascii="Times New Roman" w:hAnsi="Times New Roman"/>
                <w:color w:val="000000"/>
                <w:sz w:val="13"/>
              </w:rPr>
              <w:t xml:space="preserve">(2) </w:t>
            </w:r>
            <w:r>
              <w:rPr>
                <w:rFonts w:ascii="Times New Roman" w:hAnsi="Times New Roman"/>
                <w:color w:val="000000"/>
                <w:sz w:val="20"/>
              </w:rPr>
              <w:t xml:space="preserve">and excluding cash and cash equivalents and </w:t>
              <w:br/>
              <w:t>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Availability under Revolving Credit Facility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including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capitalization </w:t>
            </w:r>
            <w:r>
              <w:rPr>
                <w:rFonts w:ascii="Times New Roman" w:hAnsi="Times New Roman"/>
                <w:color w:val="000000"/>
                <w:sz w:val="13"/>
              </w:rPr>
              <w:t>(3)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6,188.9</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7,009.6</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as a percentage of total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cash and cash equivalents in assets held for sale of $98.4 million as of December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Working capital is net of assets and liabilities held for sale and consists of current assets of $2,803.4 million less current liabilities of $1,243.8 million as of September 30, 2025 and current assets of $2,127.0 million less current liabilities of $984.4 million as of December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Total capitalization includes long-term debt, including the current portion, Series A convertible preferred stock (the Convertible Preferred Stock) and stockholders’ deficit.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sources of liquidity on a short-term basis are cash and cash equivalents, cash flows provided by operations and availability under our credit facilities. On a long-term basis, our potential sources of liquidity also include raising capital through the issuance of additional equity and/or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primary uses of liquidity include debt service requirements, voluntary debt repayments, redemptions or purchases on the open market, working capital requirements, capital expenditures, business separation transaction costs, transformation costs, restructuring costs, dividends related to the Convertible Preferred Stock if we elect to pay such dividends in cash, litigation settlements, income tax payments and other 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required to obtain additional financing in the future to address our liquidity needs, and, subject to market conditions, we may from time to time seek to amend, refinance, restructure, exchange or repurchase our outstanding indebtedness and/or raise additional equity or other financing. Any debt we incur in the future may have terms (including cash interest rate, financial covenants and covenants limiting our operating flexibility or ability to obtain additional financings) that are not favorable to us, and any such additional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amendment, refinancing, restructuring, exchange or repurchases could have a material and adverse effect on our results of operations, cash flows, financial condition and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volatility in cash flows between periods due to, among other reasons, variability in the timing of vendor payments and customer receipts. We may, from time to time, seek to obtain alternative sources of financing, by borrowing additional amounts under our Revolving Credit Facility,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reduce future cash interest payments, as well as future amounts due at maturity or upon redemption, we may, from time to time, purchase such debt for cash, in exchange for common or preferred stock or debt, or for a combination thereof, in each case in open-market purchases and/or privately negotiated transactions, tender offers or exchange offers and upon such terms and at such prices as we may determine. Any such transactions will be dependent upon several factors, including our liquidity requirements, contractual restrictions, general market conditions and applicable regulatory, legal and accounting factors. Whether or not we engage in any such transactions will be determined at our discretion. The amounts involved in any such transactions, individually or in the aggregate, may be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the “Reconciliation of Non-GAAP Measures” section below, but also give pro forma effect to certain events, including acquisitions, synergies and savings from cost reduction initiatives such as facility closures and headcount reductions. For the twelve months ended September 30, 2025, our non-GAAP pro forma adjusted EBITDA, as measured pursuant to the indentures governing our notes, was $1,217.6 million, which included annualized savings expected from cost reduction initiatives of $13.9 million so that the impact of cost reduction initiatives is fully reflected in the twelve-month period used in the calculation of the ratios. In addition to limitations under these indentures, our senior secured credit facilities contain customary negative covenants based on similar financial measures. We believe we are in compliance with the covenants under our indentures and senior secured credit facilities as of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increased by $42.0 million during the nine months ended September 30, 2025 as described under the Cash Flow Overview section below. As of September 30, 2025, approximately 39.2% of our cash and cash equivalents were held outside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Working capital, net of assets and liabilities held for sale and excluding cash and cash equivalents and the current portion of long-term debt, increased during the nine months ended September 30, 2025 compared to the fourth quarter of 2024 primarily due to higher accounts receivable and inventory balances due to increased net sales in the third quarter of 2025 compared to the fourth quarter of 2024, partially offset by increases in accounts payable and other liabilities. During the nine months ended September 30, 2025, we sold accounts receivable under customer-sponsored supplier financing agreements. This had an impact of approximately $58 million on working capital, excluding cash and cash equivalents and the current portion of long-term debt, as of September 30, 2025. Under these agreements, we are able to sell certain accounts receivable to a bank, and we retain no interest in and have no servicing responsibilities for the accounts receivable sold. The net decrease in total capitalization during the nine months ended September 30, 2025 is primarily driven by the repurchases of debt related to the debt refinancing transactions in December 2024, partially offset by net income reflected for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 Overview</w:t>
      </w:r>
    </w:p>
    <w:tbl>
      <w:tblPr>
        <w:tblW w:w="9262" w:type="dxa"/>
        <w:jc w:val="left"/>
        <w:tblInd w:w="0" w:type="dxa"/>
        <w:tblLayout w:type="fixed"/>
        <w:tblCellMar>
          <w:top w:w="28" w:type="dxa"/>
          <w:left w:w="28" w:type="dxa"/>
          <w:bottom w:w="28" w:type="dxa"/>
          <w:right w:w="28" w:type="dxa"/>
        </w:tblCellMar>
      </w:tblPr>
      <w:tblGrid>
        <w:gridCol w:w="4276"/>
        <w:gridCol w:w="146"/>
        <w:gridCol w:w="211"/>
        <w:gridCol w:w="781"/>
        <w:gridCol w:w="166"/>
        <w:gridCol w:w="146"/>
        <w:gridCol w:w="211"/>
        <w:gridCol w:w="526"/>
        <w:gridCol w:w="166"/>
        <w:gridCol w:w="146"/>
        <w:gridCol w:w="211"/>
        <w:gridCol w:w="781"/>
        <w:gridCol w:w="166"/>
        <w:gridCol w:w="146"/>
        <w:gridCol w:w="146"/>
        <w:gridCol w:w="721"/>
        <w:gridCol w:w="316"/>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(used in) operating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7,713.6</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Activities</w:t>
      </w:r>
    </w:p>
    <w:tbl>
      <w:tblPr>
        <w:tblW w:w="9749" w:type="dxa"/>
        <w:jc w:val="left"/>
        <w:tblInd w:w="0" w:type="dxa"/>
        <w:tblLayout w:type="fixed"/>
        <w:tblCellMar>
          <w:top w:w="28" w:type="dxa"/>
          <w:left w:w="28" w:type="dxa"/>
          <w:bottom w:w="28" w:type="dxa"/>
          <w:right w:w="28" w:type="dxa"/>
        </w:tblCellMar>
      </w:tblPr>
      <w:tblGrid>
        <w:gridCol w:w="6796"/>
        <w:gridCol w:w="146"/>
        <w:gridCol w:w="211"/>
        <w:gridCol w:w="631"/>
        <w:gridCol w:w="166"/>
        <w:gridCol w:w="146"/>
        <w:gridCol w:w="211"/>
        <w:gridCol w:w="631"/>
        <w:gridCol w:w="811"/>
      </w:tblGrid>
      <w:tr>
        <w:trPr/>
        <w:tc>
          <w:tcPr>
            <w:tcW w:w="6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79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8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81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 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loss on disposal of discontinued operations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81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96"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811"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96"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811"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8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the increase in net cash generated by operating activities compared to the prior year period was driven by improved operating performance and lower cash interest paid, partially offset by higher cash taxes paid in the current year period compared to the prior year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tbl>
      <w:tblPr>
        <w:tblW w:w="7074" w:type="dxa"/>
        <w:jc w:val="left"/>
        <w:tblInd w:w="0" w:type="dxa"/>
        <w:tblLayout w:type="fixed"/>
        <w:tblCellMar>
          <w:top w:w="28" w:type="dxa"/>
          <w:left w:w="28" w:type="dxa"/>
          <w:bottom w:w="28" w:type="dxa"/>
          <w:right w:w="28" w:type="dxa"/>
        </w:tblCellMar>
      </w:tblPr>
      <w:tblGrid>
        <w:gridCol w:w="4536"/>
        <w:gridCol w:w="146"/>
        <w:gridCol w:w="211"/>
        <w:gridCol w:w="721"/>
        <w:gridCol w:w="166"/>
        <w:gridCol w:w="146"/>
        <w:gridCol w:w="211"/>
        <w:gridCol w:w="526"/>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53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divestitures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a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the increase in cash generated by investing activities compared to the prior year period was primarily driven by favorable impacts from net proceeds of $2,034.5 million related to the sale of the OWN segment and DAS business unit to Amphenol, net proceeds of $7.4 million related to the sale of the OneCell business and cash paid in the prior period of $45.1 million related to the Casa Transaction. These favorable impacts were partially offset by unfavorable impacts due to increased capital expenditures of $26.5 million compared to the prior year period and proceeds received in the prior year period of $8.6 million on the sale of certain nonfinancial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tbl>
      <w:tblPr>
        <w:tblW w:w="8829" w:type="dxa"/>
        <w:jc w:val="left"/>
        <w:tblInd w:w="0" w:type="dxa"/>
        <w:tblLayout w:type="fixed"/>
        <w:tblCellMar>
          <w:top w:w="28" w:type="dxa"/>
          <w:left w:w="28" w:type="dxa"/>
          <w:bottom w:w="28" w:type="dxa"/>
          <w:right w:w="28" w:type="dxa"/>
        </w:tblCellMar>
      </w:tblPr>
      <w:tblGrid>
        <w:gridCol w:w="6231"/>
        <w:gridCol w:w="146"/>
        <w:gridCol w:w="211"/>
        <w:gridCol w:w="781"/>
        <w:gridCol w:w="166"/>
        <w:gridCol w:w="146"/>
        <w:gridCol w:w="211"/>
        <w:gridCol w:w="526"/>
        <w:gridCol w:w="4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23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repaid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withholding payments for vested equity-based compensation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(2,015.9</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4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During the nine months ended September 30, 2025, we repurchased $299.0 million in aggregate principal amount of our 2029 Secured Notes and repurchased in full the $1,500.0 million outstanding amount of our 2026 Secured Notes. In connection with the debt transactions, we paid $5.7 million of debt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we borrowed $50.0 million and repaid $250.0 million of outstanding borrowings under our Revolving Credit Facility, and the remaining availability was $576.5 million, reflecting a borrowing base subject to maximum capacity of $626.5 million reduced by $50.0 million of letters of credit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2024, we paid the quarterly scheduled amortization payments totaling $24.0 million on our previous senior secured term loan due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employees surrendered shares of our common stock to satisfy their tax withholding requirements on vested restricted stock units (RSUs) and performance share units (PSUs), which reduced cash flows by $11.2 million compared to $1.8 million in the prior year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Reconciliation of Non-GAAP Measures</w:t>
      </w:r>
    </w:p>
    <w:p>
      <w:pPr>
        <w:pStyle w:val="TextBody"/>
        <w:bidi w:val="0"/>
        <w:jc w:val="left"/>
        <w:rPr>
          <w:rFonts w:ascii="Times New Roman" w:hAnsi="Times New Roman"/>
          <w:color w:val="000000"/>
          <w:sz w:val="20"/>
        </w:rPr>
      </w:pPr>
      <w:r>
        <w:rPr>
          <w:rFonts w:ascii="Times New Roman" w:hAnsi="Times New Roman"/>
          <w:color w:val="000000"/>
          <w:sz w:val="20"/>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recurring business. We also use certain of these financial measures for business planning purposes and in measuring our performance relative to that of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believe presenting these non-GAAP results for the twelve months ended September 30, 2025 provides an additional tool for assessing our recent performance. Such amounts are unaudited and are derived by subtracting the data for the nine months ended September 30, 2024 from the data for the year ended December 31, 2024 and then adding the data for the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Consolidated</w:t>
      </w:r>
    </w:p>
    <w:tbl>
      <w:tblPr>
        <w:tblW w:w="10205" w:type="dxa"/>
        <w:jc w:val="left"/>
        <w:tblInd w:w="0" w:type="dxa"/>
        <w:tblLayout w:type="fixed"/>
        <w:tblCellMar>
          <w:top w:w="28" w:type="dxa"/>
          <w:left w:w="28" w:type="dxa"/>
          <w:bottom w:w="28" w:type="dxa"/>
          <w:right w:w="28" w:type="dxa"/>
        </w:tblCellMar>
      </w:tblPr>
      <w:tblGrid>
        <w:gridCol w:w="2681"/>
        <w:gridCol w:w="246"/>
        <w:gridCol w:w="211"/>
        <w:gridCol w:w="571"/>
        <w:gridCol w:w="166"/>
        <w:gridCol w:w="146"/>
        <w:gridCol w:w="211"/>
        <w:gridCol w:w="571"/>
        <w:gridCol w:w="166"/>
        <w:gridCol w:w="146"/>
        <w:gridCol w:w="211"/>
        <w:gridCol w:w="631"/>
        <w:gridCol w:w="166"/>
        <w:gridCol w:w="146"/>
        <w:gridCol w:w="211"/>
        <w:gridCol w:w="631"/>
        <w:gridCol w:w="166"/>
        <w:gridCol w:w="146"/>
        <w:gridCol w:w="245"/>
        <w:gridCol w:w="734"/>
        <w:gridCol w:w="166"/>
        <w:gridCol w:w="146"/>
        <w:gridCol w:w="243"/>
        <w:gridCol w:w="834"/>
        <w:gridCol w:w="414"/>
      </w:tblGrid>
      <w:tr>
        <w:trPr/>
        <w:tc>
          <w:tcPr>
            <w:tcW w:w="26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6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4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(credits), net</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41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Transaction, transformation and integration</w:t>
              <w:br/>
              <w:t xml:space="preserve">   costs </w:t>
            </w:r>
            <w:r>
              <w:rPr>
                <w:rFonts w:ascii="Times New Roman" w:hAnsi="Times New Roman"/>
                <w:color w:val="000000"/>
                <w:sz w:val="13"/>
              </w:rPr>
              <w:t>(1)</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41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 claims and litigation settlements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adjusted EBITDA</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1,203.7</w:t>
            </w:r>
          </w:p>
        </w:tc>
        <w:tc>
          <w:tcPr>
            <w:tcW w:w="41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 2025 and 2024, primarily reflects transaction costs related to certain CommScope NEXT initiatives.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Reconciliation of Segment Adjusted EBITDA</w:t>
      </w:r>
    </w:p>
    <w:p>
      <w:pPr>
        <w:pStyle w:val="TextBody"/>
        <w:bidi w:val="0"/>
        <w:jc w:val="left"/>
        <w:rPr>
          <w:rFonts w:ascii="Times New Roman" w:hAnsi="Times New Roman"/>
          <w:color w:val="000000"/>
          <w:sz w:val="20"/>
        </w:rPr>
      </w:pPr>
      <w:r>
        <w:rPr>
          <w:rFonts w:ascii="Times New Roman" w:hAnsi="Times New Roman"/>
          <w:color w:val="000000"/>
          <w:sz w:val="20"/>
        </w:rPr>
        <w:t>Segment adjusted EBITDA is provided as a performance measure in Note 9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income in Note 9.</w:t>
      </w:r>
    </w:p>
    <w:p>
      <w:pPr>
        <w:pStyle w:val="TextBody"/>
        <w:bidi w:val="0"/>
        <w:spacing w:before="360" w:after="120"/>
        <w:jc w:val="left"/>
        <w:rPr>
          <w:rFonts w:ascii="Times New Roman" w:hAnsi="Times New Roman"/>
          <w:sz w:val="20"/>
        </w:rPr>
      </w:pPr>
      <w:r>
        <w:rPr>
          <w:rFonts w:ascii="Times New Roman" w:hAnsi="Times New Roman"/>
          <w:b/>
          <w:i/>
          <w:color w:val="000000"/>
          <w:sz w:val="20"/>
        </w:rPr>
        <w:t xml:space="preserve">RUCKUS Segment </w:t>
      </w:r>
      <w:r>
        <w:rPr>
          <w:rFonts w:ascii="Times New Roman" w:hAnsi="Times New Roman"/>
          <w:b/>
          <w:i/>
          <w:color w:val="000000"/>
          <w:sz w:val="13"/>
        </w:rPr>
        <w:t>(1)</w:t>
      </w:r>
    </w:p>
    <w:tbl>
      <w:tblPr>
        <w:tblW w:w="8622" w:type="dxa"/>
        <w:jc w:val="left"/>
        <w:tblInd w:w="0" w:type="dxa"/>
        <w:tblLayout w:type="fixed"/>
        <w:tblCellMar>
          <w:top w:w="28" w:type="dxa"/>
          <w:left w:w="28" w:type="dxa"/>
          <w:bottom w:w="28" w:type="dxa"/>
          <w:right w:w="28" w:type="dxa"/>
        </w:tblCellMar>
      </w:tblPr>
      <w:tblGrid>
        <w:gridCol w:w="4196"/>
        <w:gridCol w:w="246"/>
        <w:gridCol w:w="211"/>
        <w:gridCol w:w="466"/>
        <w:gridCol w:w="166"/>
        <w:gridCol w:w="146"/>
        <w:gridCol w:w="211"/>
        <w:gridCol w:w="466"/>
        <w:gridCol w:w="166"/>
        <w:gridCol w:w="146"/>
        <w:gridCol w:w="211"/>
        <w:gridCol w:w="571"/>
        <w:gridCol w:w="146"/>
        <w:gridCol w:w="146"/>
        <w:gridCol w:w="211"/>
        <w:gridCol w:w="526"/>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(credits),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activity of the OneCell business for periods prior to its disposition.</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Access Network Solutions Segment</w:t>
      </w:r>
    </w:p>
    <w:tbl>
      <w:tblPr>
        <w:tblW w:w="8662" w:type="dxa"/>
        <w:jc w:val="left"/>
        <w:tblInd w:w="0" w:type="dxa"/>
        <w:tblLayout w:type="fixed"/>
        <w:tblCellMar>
          <w:top w:w="28" w:type="dxa"/>
          <w:left w:w="28" w:type="dxa"/>
          <w:bottom w:w="28" w:type="dxa"/>
          <w:right w:w="28" w:type="dxa"/>
        </w:tblCellMar>
      </w:tblPr>
      <w:tblGrid>
        <w:gridCol w:w="4196"/>
        <w:gridCol w:w="246"/>
        <w:gridCol w:w="211"/>
        <w:gridCol w:w="466"/>
        <w:gridCol w:w="146"/>
        <w:gridCol w:w="146"/>
        <w:gridCol w:w="211"/>
        <w:gridCol w:w="526"/>
        <w:gridCol w:w="166"/>
        <w:gridCol w:w="146"/>
        <w:gridCol w:w="211"/>
        <w:gridCol w:w="571"/>
        <w:gridCol w:w="146"/>
        <w:gridCol w:w="146"/>
        <w:gridCol w:w="211"/>
        <w:gridCol w:w="526"/>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Connectivity and Cable Solutions Segment</w:t>
      </w:r>
    </w:p>
    <w:tbl>
      <w:tblPr>
        <w:tblW w:w="8857" w:type="dxa"/>
        <w:jc w:val="left"/>
        <w:tblInd w:w="0" w:type="dxa"/>
        <w:tblLayout w:type="fixed"/>
        <w:tblCellMar>
          <w:top w:w="28" w:type="dxa"/>
          <w:left w:w="28" w:type="dxa"/>
          <w:bottom w:w="28" w:type="dxa"/>
          <w:right w:w="28" w:type="dxa"/>
        </w:tblCellMar>
      </w:tblPr>
      <w:tblGrid>
        <w:gridCol w:w="4196"/>
        <w:gridCol w:w="246"/>
        <w:gridCol w:w="211"/>
        <w:gridCol w:w="571"/>
        <w:gridCol w:w="146"/>
        <w:gridCol w:w="146"/>
        <w:gridCol w:w="211"/>
        <w:gridCol w:w="571"/>
        <w:gridCol w:w="166"/>
        <w:gridCol w:w="146"/>
        <w:gridCol w:w="211"/>
        <w:gridCol w:w="571"/>
        <w:gridCol w:w="146"/>
        <w:gridCol w:w="146"/>
        <w:gridCol w:w="211"/>
        <w:gridCol w:w="571"/>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(credits),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Note: Components may not sum to total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subject to various risks and uncertainties, many of which are outside our control, including, without limitation, the occurrence of any event, change or other circumstances that could give rise to the termination of the purchase agreement with Amphenol, pursuant to which Amphenol has agreed to acquire our CCS segment (the “proposed transaction”); the inability to complete the proposed transaction due to the failure to satisfy the conditions to completion of the proposed transaction, including that a governmental entity may prohibit, delay or refuse to grant approval for the consummation of the proposed transaction; risks related to disruption of management’s attention from our ongoing business operations due to the proposed transaction; the effect of the announcement of the proposed transaction on our relationships, operating results and business generally; the risk that the proposed transaction will not be consummated in a timely manner; exceeding the expected costs of the proposed transaction;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CommScope NEXT and other cost saving initiatives;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our substantial indebtedness, including our upcoming maturities and evaluation of capital structure alternatives and restrictive debt covenants; our ability to refinance existing indebtedness prior to its maturity or incur additional indebtedness at acceptable interest rates or at all; our ability to generate cash to service our indebtedness; the ability to recognize the expected benefits of the sale of the CCS business unit and prior sale transactions, including the expected financial performance of CommScope following the proposed transaction and prior sale transactions; the effect of the proposed transaction and prior sale transactions on the ability of CommScope to retain and hire key personnel and maintain relationships with its key business partners and customers, and others with whom it does business, or on its operating results and businesses generally; the response of CommScope’s competitors, creditors and prior stakeholders to the proposed transaction and prior sale transactions; potential litigation relating to the proposed transaction and prior sale transactions; our ability to integrate and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U.S. affecting trade, including the risk and uncertainty related to tariffs or potential trade wars and potential changes to laws and policies, that may impact our products and costs;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factors are discussed in greater detail in our 2024 Annual Report on Form 10-K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Quarterly Report on Form 10-Q, except to the extent required by law.</w:t>
      </w:r>
    </w:p>
    <w:p>
      <w:pPr>
        <w:pStyle w:val="TextBody"/>
        <w:bidi w:val="0"/>
        <w:spacing w:before="360" w:after="283"/>
        <w:jc w:val="left"/>
        <w:rPr>
          <w:rFonts w:ascii="Times New Roman" w:hAnsi="Times New Roman"/>
          <w:b/>
          <w:color w:val="000000"/>
          <w:sz w:val="20"/>
        </w:rPr>
      </w:pPr>
      <w:bookmarkStart w:id="13" w:name="item_3_quantitative_qualitative_discl"/>
      <w:bookmarkEnd w:id="13"/>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interest rate risk, commodity price risk or foreign currency exchange rate risk information previously reported under Item 7A of our 2024 Annual Report, as filed with the Securities and Exchange Commission on February 26, 2025.</w:t>
      </w:r>
    </w:p>
    <w:p>
      <w:pPr>
        <w:pStyle w:val="TextBody"/>
        <w:bidi w:val="0"/>
        <w:spacing w:before="360" w:after="283"/>
        <w:jc w:val="left"/>
        <w:rPr>
          <w:rFonts w:ascii="Times New Roman" w:hAnsi="Times New Roman"/>
          <w:b/>
          <w:color w:val="000000"/>
          <w:sz w:val="20"/>
        </w:rPr>
      </w:pPr>
      <w:bookmarkStart w:id="14" w:name="item_4_controls_procedures"/>
      <w:bookmarkEnd w:id="14"/>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should be made to our 2024 Annual Report for additional information regarding discussion of the effectiveness of the Company’s controls and procedures. There have been no changes in our internal control over financial reporting during the quarter ended September 30,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5" w:name="part_iior_information"/>
      <w:bookmarkEnd w:id="15"/>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is subject to various federal, state, local and foreign laws and regulations governing the use, discharge, disposal and remediation of hazardous materials. Compliance with current laws and regulations has not had, and is not expected to have, a material adverse effect on the Company’s financial condition or results of operations.</w:t>
      </w:r>
    </w:p>
    <w:p>
      <w:pPr>
        <w:pStyle w:val="TextBody"/>
        <w:bidi w:val="0"/>
        <w:spacing w:before="360" w:after="283"/>
        <w:jc w:val="left"/>
        <w:rPr>
          <w:rFonts w:ascii="Times New Roman" w:hAnsi="Times New Roman"/>
          <w:sz w:val="20"/>
        </w:rPr>
      </w:pPr>
      <w:bookmarkStart w:id="17" w:name="item_1a_risk_factors"/>
      <w:bookmarkEnd w:id="17"/>
      <w:r>
        <w:rPr>
          <w:rFonts w:ascii="Times New Roman" w:hAnsi="Times New Roman"/>
          <w:b/>
          <w:color w:val="000000"/>
          <w:sz w:val="20"/>
        </w:rPr>
        <w:t>ITEM 1A. RISK FACTORS</w:t>
      </w:r>
      <w:r>
        <w:rPr>
          <w:rFonts w:ascii="Times New Roman" w:hAnsi="Times New Roman"/>
          <w:color w:val="212529"/>
          <w:sz w:val="20"/>
        </w:rPr>
        <w:t>.</w:t>
      </w:r>
    </w:p>
    <w:p>
      <w:pPr>
        <w:pStyle w:val="TextBody"/>
        <w:bidi w:val="0"/>
        <w:spacing w:before="120" w:after="160"/>
        <w:jc w:val="left"/>
        <w:rPr>
          <w:rFonts w:ascii="Times New Roman" w:hAnsi="Times New Roman"/>
          <w:i/>
          <w:color w:val="212529"/>
          <w:sz w:val="20"/>
        </w:rPr>
      </w:pPr>
      <w:r>
        <w:rPr>
          <w:rFonts w:ascii="Times New Roman" w:hAnsi="Times New Roman"/>
          <w:i/>
          <w:color w:val="212529"/>
          <w:sz w:val="20"/>
        </w:rPr>
        <w:t>The Company’s business, financial condition, results of operations and cash flows are subject to various risks which could cause actual results to vary from recent results or from anticipated future results. The following represents important changes and updates to the risk factors previously disclosed in Item 1A. of Part I of our Annual Report on Form 10-K for the year ended December 31, 2024. Other than the supplemental risk factors set forth below, there have been no material changes to the risk factors disclosed in Part I – Item 1A, Risk Factors of our 2024 Form 10-K for the year ended December 31, 2024.</w:t>
      </w:r>
    </w:p>
    <w:p>
      <w:pPr>
        <w:pStyle w:val="TextBody"/>
        <w:bidi w:val="0"/>
        <w:spacing w:before="200" w:after="283"/>
        <w:jc w:val="left"/>
        <w:rPr>
          <w:rFonts w:ascii="Times New Roman" w:hAnsi="Times New Roman"/>
          <w:b/>
          <w:i/>
          <w:color w:val="212529"/>
          <w:sz w:val="20"/>
        </w:rPr>
      </w:pPr>
      <w:r>
        <w:rPr>
          <w:rFonts w:ascii="Times New Roman" w:hAnsi="Times New Roman"/>
          <w:b/>
          <w:i/>
          <w:color w:val="212529"/>
          <w:sz w:val="20"/>
        </w:rPr>
        <w:t>Risks Related to the Pending CCS Sale Transaction with Amphenol (the “Transaction”)</w:t>
      </w:r>
    </w:p>
    <w:p>
      <w:pPr>
        <w:pStyle w:val="TextBody"/>
        <w:bidi w:val="0"/>
        <w:spacing w:before="120" w:after="283"/>
        <w:jc w:val="left"/>
        <w:rPr>
          <w:rFonts w:ascii="Times New Roman" w:hAnsi="Times New Roman"/>
          <w:b/>
          <w:color w:val="212529"/>
          <w:sz w:val="20"/>
        </w:rPr>
      </w:pPr>
      <w:r>
        <w:rPr>
          <w:rFonts w:ascii="Times New Roman" w:hAnsi="Times New Roman"/>
          <w:b/>
          <w:color w:val="212529"/>
          <w:sz w:val="20"/>
        </w:rPr>
        <w:t>We are subject to various uncertainties and contractual restrictions while the Transaction is pending, which may cause disruption and strain key relationships.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The announcement and pendency of the Transaction may result in significant disruption to our operations. Although we intend to take steps designed to reduce any adverse effects, these effects may impair our ability to attract and retain employees, maintain relationships with suppliers, vendors, and customers, and execute on strategic initiatives. </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In addition, we are subject to contractual restrictions under the Purchase Agreement governing the Transaction, including limitations on solicitation of alternative transactions and adverse recommendation changes, which may restrict our flexibility to respond to unsolicited proposals or changing market conditions. These provisions could discourage a third party that might have an interest in acquiring all of, or substantially all of, our assets or our common stock from considering or proposing such an acquisition, even if that party were prepared to pay consideration with a higher value than the consideration to be paid by Amphenol.</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We are subject to contractual restrictions and potential litigation risk during this period, which could further impact our operations and reputation. We have received demands and may face claims from stockholders or other parties alleging breaches of fiduciary duty, disclosure deficiencies, or other violations of law in connection with the Transaction. While we believe the disclosures provided to our stockholders have been complete and accurate, litigation could result in substantial costs, reputational harm, and distraction of management from ongoing business operations. The outcome of any such litigation is inherently uncertain and could adversely affect our ability to complete the Transaction or impact the anticipated benefits of the sale.</w:t>
      </w:r>
    </w:p>
    <w:p>
      <w:pPr>
        <w:pStyle w:val="TextBody"/>
        <w:bidi w:val="0"/>
        <w:spacing w:before="360" w:after="283"/>
        <w:jc w:val="left"/>
        <w:rPr>
          <w:rFonts w:ascii="Times New Roman" w:hAnsi="Times New Roman"/>
          <w:b/>
          <w:color w:val="212529"/>
          <w:sz w:val="20"/>
        </w:rPr>
      </w:pPr>
      <w:r>
        <w:rPr>
          <w:rFonts w:ascii="Times New Roman" w:hAnsi="Times New Roman"/>
          <w:b/>
          <w:color w:val="212529"/>
          <w:sz w:val="20"/>
        </w:rPr>
        <w:t>We will incur significant expenses in connection with the Transaction, regardless of whether the Transaction is completed.</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We have incurred and expect to continue to incur significant expenses related to the Transaction. These expenses include, but are not limited to, financial advisory and opinion fees and expenses, legal fees, accounting fees and expenses, certain employee expenses, filing fees, printing expenses and other related fees and expenses. Many of these expenses are payable by us regardless of whether the Transaction is completed. Additionally, if the Purchase Agreement governing the Transaction is terminated in certain circumstances, we will be required to pay Amphenol a termination fee.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12529"/>
          <w:sz w:val="20"/>
        </w:rPr>
      </w:pPr>
      <w:r>
        <w:rPr>
          <w:rFonts w:ascii="Times New Roman" w:hAnsi="Times New Roman"/>
          <w:b/>
          <w:color w:val="212529"/>
          <w:sz w:val="20"/>
        </w:rPr>
        <w:t>Failure to complete the Transaction could materially and adversely affect our business, financial results, and stock price.</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If the Transaction is not completed, our business may be adversely affected in several ways, including reputational harm, loss of strategic momentum, and increased difficulty in accessing capital, including the following: </w:t>
      </w:r>
    </w:p>
    <w:p>
      <w:pPr>
        <w:pStyle w:val="TextBody"/>
        <w:bidi w:val="0"/>
        <w:spacing w:before="200" w:after="283"/>
        <w:jc w:val="left"/>
        <w:rPr>
          <w:color w:val="212529"/>
        </w:rPr>
      </w:pPr>
      <w:r>
        <w:rPr>
          <w:color w:val="212529"/>
        </w:rPr>
        <w:t>•</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being required to pay a termination fee to Amphenol under certain circumstances as provided in the Purchase Agreement;</w:t>
      </w:r>
    </w:p>
    <w:p>
      <w:pPr>
        <w:pStyle w:val="TextBody"/>
        <w:bidi w:val="0"/>
        <w:spacing w:before="0" w:after="0"/>
        <w:jc w:val="left"/>
        <w:rPr>
          <w:color w:val="212529"/>
        </w:rPr>
      </w:pPr>
      <w:r>
        <w:rPr>
          <w:color w:val="212529"/>
        </w:rPr>
        <w:t>•</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t>having to pay certain costs relating to the Transaction, such as legal, accounting, financial advisor and other fees and expenses, without receiving any proceeds from the Transaction;</w:t>
      </w:r>
    </w:p>
    <w:p>
      <w:pPr>
        <w:pStyle w:val="TextBody"/>
        <w:bidi w:val="0"/>
        <w:spacing w:before="0" w:after="0"/>
        <w:jc w:val="left"/>
        <w:rPr>
          <w:color w:val="212529"/>
        </w:rPr>
      </w:pPr>
      <w:r>
        <w:rPr>
          <w:color w:val="212529"/>
        </w:rPr>
        <w:t>•</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t xml:space="preserve">our common stock price could decline to the extent that the current market price reflects a market assumption that the Transaction will be completed and/or that a portion of the proceeds will be distributed to stockholders as a special dividend post-closing; </w:t>
      </w:r>
    </w:p>
    <w:p>
      <w:pPr>
        <w:pStyle w:val="TextBody"/>
        <w:bidi w:val="0"/>
        <w:spacing w:before="0" w:after="0"/>
        <w:jc w:val="left"/>
        <w:rPr>
          <w:color w:val="212529"/>
        </w:rPr>
      </w:pPr>
      <w:r>
        <w:rPr>
          <w:color w:val="212529"/>
        </w:rPr>
        <w:t>•</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t>having had the focus of our senior management on the Transaction instead of on pursuing other opportunities that could have been beneficial to us and our stockholders; and</w:t>
      </w:r>
    </w:p>
    <w:p>
      <w:pPr>
        <w:pStyle w:val="TextBody"/>
        <w:bidi w:val="0"/>
        <w:spacing w:before="0" w:after="160"/>
        <w:jc w:val="left"/>
        <w:rPr>
          <w:color w:val="212529"/>
        </w:rPr>
      </w:pPr>
      <w:r>
        <w:rPr>
          <w:color w:val="212529"/>
        </w:rPr>
        <w:t>•</w:t>
      </w:r>
    </w:p>
    <w:p>
      <w:pPr>
        <w:pStyle w:val="TextBody"/>
        <w:bidi w:val="0"/>
        <w:spacing w:before="0" w:after="160"/>
        <w:jc w:val="left"/>
        <w:rPr>
          <w:rFonts w:ascii="Times New Roman" w:hAnsi="Times New Roman"/>
          <w:color w:val="212529"/>
          <w:sz w:val="20"/>
        </w:rPr>
      </w:pPr>
      <w:r>
        <w:rPr>
          <w:rFonts w:ascii="Times New Roman" w:hAnsi="Times New Roman"/>
          <w:color w:val="212529"/>
          <w:sz w:val="20"/>
        </w:rPr>
        <w:t>we may lack the liquidity necessary to repay our outstanding debt obligations.</w:t>
      </w:r>
    </w:p>
    <w:p>
      <w:pPr>
        <w:pStyle w:val="TextBody"/>
        <w:bidi w:val="0"/>
        <w:spacing w:before="0" w:after="200"/>
        <w:jc w:val="left"/>
        <w:rPr>
          <w:rFonts w:ascii="Times New Roman" w:hAnsi="Times New Roman"/>
          <w:color w:val="212529"/>
          <w:sz w:val="20"/>
        </w:rPr>
      </w:pPr>
      <w:r>
        <w:rPr>
          <w:rFonts w:ascii="Times New Roman" w:hAnsi="Times New Roman"/>
          <w:color w:val="212529"/>
          <w:sz w:val="20"/>
        </w:rPr>
        <w:t>If the Transaction is not completed, we cannot assure you that these risks will not materialize and will not materially adversely affect our business, financial results and stock price.</w:t>
      </w:r>
    </w:p>
    <w:p>
      <w:pPr>
        <w:pStyle w:val="TextBody"/>
        <w:bidi w:val="0"/>
        <w:spacing w:before="160" w:after="283"/>
        <w:jc w:val="left"/>
        <w:rPr>
          <w:rFonts w:ascii="Times New Roman" w:hAnsi="Times New Roman"/>
          <w:b/>
          <w:color w:val="212529"/>
          <w:sz w:val="20"/>
        </w:rPr>
      </w:pPr>
      <w:r>
        <w:rPr>
          <w:rFonts w:ascii="Times New Roman" w:hAnsi="Times New Roman"/>
          <w:b/>
          <w:color w:val="212529"/>
          <w:sz w:val="20"/>
        </w:rPr>
        <w:t>The Transaction is subject to closing conditions and regulatory approvals that may delay or prevent its completion.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Completion of the Transaction is subject to various closing conditions, including the receipt of consents and approvals from governmental entities. We cannot predict whether and when these conditions will be satisfied. These approvals may be delayed or conditioned in ways that adversely affect our business or result in the abandonment of the Transaction.</w:t>
      </w:r>
    </w:p>
    <w:p>
      <w:pPr>
        <w:pStyle w:val="TextBody"/>
        <w:bidi w:val="0"/>
        <w:spacing w:before="360" w:after="283"/>
        <w:jc w:val="left"/>
        <w:rPr>
          <w:rFonts w:ascii="Times New Roman" w:hAnsi="Times New Roman"/>
          <w:b/>
          <w:color w:val="212529"/>
          <w:sz w:val="20"/>
        </w:rPr>
      </w:pPr>
      <w:r>
        <w:rPr>
          <w:rFonts w:ascii="Times New Roman" w:hAnsi="Times New Roman"/>
          <w:b/>
          <w:color w:val="212529"/>
          <w:sz w:val="20"/>
        </w:rPr>
        <w:t>The anticipated dividend following the closing of the Transaction is subject to change and may not be paid as expected.</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proceeds from the Transaction will be paid directly to us. After repaying all debt and redeeming our preferred equity and incurring a reasonable amount of new indebtedness on the remaining business, we will have significant excess cash. We currently expect to distribute a substantial portion of this excess cash to our stockholders as a special dividend within 90 days following the closing of the Transaction. However, the exact amount and timing of the dividend will be determined by our board of directors after closing after taking into account all relevant factors, and there can be no assurance of the exact amount of cash proceeds to be distributed to our stockholders or of the exact timing of any such distributions. The decision to declare a special dividend and the timing and amount thereof, if any, is in the sole discretion of our board of directors acting in the best interests of the Company and will depend on such factors as are deemed relevant by the board of directors at the time of such decision.</w:t>
      </w:r>
    </w:p>
    <w:p>
      <w:pPr>
        <w:pStyle w:val="TextBody"/>
        <w:bidi w:val="0"/>
        <w:spacing w:before="360" w:after="283"/>
        <w:jc w:val="left"/>
        <w:rPr>
          <w:rFonts w:ascii="Times New Roman" w:hAnsi="Times New Roman"/>
          <w:b/>
          <w:color w:val="212529"/>
          <w:sz w:val="20"/>
        </w:rPr>
      </w:pPr>
      <w:r>
        <w:rPr>
          <w:rFonts w:ascii="Times New Roman" w:hAnsi="Times New Roman"/>
          <w:b/>
          <w:color w:val="212529"/>
          <w:sz w:val="20"/>
        </w:rPr>
        <w:t>The fairness opinion obtained by our board of directors does not reflect changes in circumstances after its issuance.</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In connection with its evaluation of the Transaction, our board of directors received a fairness opinion from our financial advisor, Evercore Inc., regarding the fairness, from a financial point of view, of the $10.5 billion base purchase price. The opinion was rendered as of August 3, 2025, and was based on assumptions, limitations, and conditions described therein. It does not reflect changes in market conditions, our financial performance, or other developments that may have occurred since that date. </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 xml:space="preserve">We have not obtained, and we do not expect to request, an updated opinion from our financial advisor. As a result, the opinion does not and will not address the fairness of the Transaction or the value of the CCS business at the time the Transaction is completed or at any time other than the date when opinion was rendered. Moreover, the opinion does not address the relative merits of the Transaction compared to other strategic alternatives or the underlying business decision to pursue the Transaction. </w:t>
      </w:r>
    </w:p>
    <w:p>
      <w:pPr>
        <w:pStyle w:val="TextBody"/>
        <w:bidi w:val="0"/>
        <w:spacing w:before="360" w:after="283"/>
        <w:jc w:val="left"/>
        <w:rPr>
          <w:rFonts w:ascii="Times New Roman" w:hAnsi="Times New Roman"/>
          <w:b/>
          <w:color w:val="212529"/>
          <w:sz w:val="20"/>
        </w:rPr>
      </w:pPr>
      <w:r>
        <w:rPr>
          <w:rFonts w:ascii="Times New Roman" w:hAnsi="Times New Roman"/>
          <w:b/>
          <w:color w:val="212529"/>
          <w:sz w:val="20"/>
        </w:rPr>
        <w:t>We may not be able to retain key personnel during and after the Transaction.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Uncertainty related to the Transaction may impact employee morale and retention. We may not be able to retain key personnel, which could disrupt our operations and impair our ability to execute on strategic priorities during and after the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12529"/>
          <w:sz w:val="20"/>
        </w:rPr>
      </w:pPr>
      <w:r>
        <w:rPr>
          <w:rFonts w:ascii="Times New Roman" w:hAnsi="Times New Roman"/>
          <w:b/>
          <w:color w:val="212529"/>
          <w:sz w:val="20"/>
        </w:rPr>
        <w:t>Our remaining businesses may face increased operational and financial risks following the divestiture.</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Following the sale of the CCS business, our remaining segments, ANS and RUCKUS, will constitute our core operations. These businesses are subject to cyclical demand, competitive pressures, and execution risks. While recent performance has been strong, there can be no assurance that these trends will continue. The divestiture may also reduce our scale and diversification, increasing our exposure to market volatility.</w:t>
      </w:r>
    </w:p>
    <w:p>
      <w:pPr>
        <w:pStyle w:val="TextBody"/>
        <w:bidi w:val="0"/>
        <w:spacing w:before="360" w:after="283"/>
        <w:jc w:val="left"/>
        <w:rPr>
          <w:rFonts w:ascii="Times New Roman" w:hAnsi="Times New Roman"/>
          <w:b/>
          <w:color w:val="000000"/>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summarizes the stock purchase activity for the three months ended September 30, 2025:</w:t>
      </w:r>
    </w:p>
    <w:tbl>
      <w:tblPr>
        <w:tblW w:w="10205" w:type="dxa"/>
        <w:jc w:val="left"/>
        <w:tblInd w:w="0" w:type="dxa"/>
        <w:tblLayout w:type="fixed"/>
        <w:tblCellMar>
          <w:top w:w="28" w:type="dxa"/>
          <w:left w:w="28" w:type="dxa"/>
          <w:bottom w:w="28" w:type="dxa"/>
          <w:right w:w="28" w:type="dxa"/>
        </w:tblCellMar>
      </w:tblPr>
      <w:tblGrid>
        <w:gridCol w:w="1848"/>
        <w:gridCol w:w="146"/>
        <w:gridCol w:w="170"/>
        <w:gridCol w:w="789"/>
        <w:gridCol w:w="146"/>
        <w:gridCol w:w="146"/>
        <w:gridCol w:w="221"/>
        <w:gridCol w:w="599"/>
        <w:gridCol w:w="146"/>
        <w:gridCol w:w="146"/>
        <w:gridCol w:w="797"/>
        <w:gridCol w:w="1896"/>
        <w:gridCol w:w="146"/>
        <w:gridCol w:w="146"/>
        <w:gridCol w:w="994"/>
        <w:gridCol w:w="1633"/>
        <w:gridCol w:w="236"/>
      </w:tblGrid>
      <w:tr>
        <w:trPr/>
        <w:tc>
          <w:tcPr>
            <w:tcW w:w="1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8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6"/>
              </w:rPr>
              <w:t xml:space="preserve">Total Number </w:t>
              <w:br/>
              <w:t xml:space="preserve">of Shares </w:t>
              <w:br/>
              <w:t>Purchased</w:t>
            </w:r>
            <w:r>
              <w:rPr>
                <w:rFonts w:ascii="Times New Roman" w:hAnsi="Times New Roman"/>
                <w:color w:val="000000"/>
                <w:sz w:val="18"/>
              </w:rPr>
              <w:t xml:space="preserve">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w:t>
              <w:br/>
              <w:t xml:space="preserve">Price Paid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Value of Shares that May Yet be Purchased Under the Plans or Programs</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2025 - July 31,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2025 - August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2025 - September 30,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00"/>
        <w:jc w:val="left"/>
        <w:rPr>
          <w:rFonts w:ascii="Times New Roman" w:hAnsi="Times New Roman"/>
          <w:color w:val="000000"/>
          <w:sz w:val="20"/>
        </w:rPr>
      </w:pPr>
      <w:r>
        <w:rPr>
          <w:rFonts w:ascii="Times New Roman" w:hAnsi="Times New Roman"/>
          <w:color w:val="000000"/>
          <w:sz w:val="20"/>
        </w:rPr>
        <w:t>(1) The shares purchased were withheld to satisfy the withholding tax obligations related to RSUs and PSUs that vested during the period.</w:t>
      </w:r>
    </w:p>
    <w:p>
      <w:pPr>
        <w:pStyle w:val="TextBody"/>
        <w:bidi w:val="0"/>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21" w:name="item_5_or_information"/>
      <w:bookmarkEnd w:id="21"/>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Our officers and directors did not enter into, modify or terminate any Rule 10b5-1 trading arrangements or non-Rule 10b5-1 trading arrangements (each as defined in Item 408(c) of Regulation S-K) during the quarter ended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634"/>
        <w:gridCol w:w="9571"/>
      </w:tblGrid>
      <w:tr>
        <w:trPr/>
        <w:tc>
          <w:tcPr>
            <w:tcW w:w="634" w:type="dxa"/>
            <w:tcBorders/>
            <w:vAlign w:val="center"/>
          </w:tcPr>
          <w:p>
            <w:pPr>
              <w:pStyle w:val="TableContents"/>
              <w:bidi w:val="0"/>
              <w:spacing w:before="0" w:after="283"/>
              <w:jc w:val="left"/>
              <w:rPr>
                <w:sz w:val="4"/>
                <w:szCs w:val="4"/>
              </w:rPr>
            </w:pPr>
            <w:r>
              <w:rPr>
                <w:sz w:val="4"/>
                <w:szCs w:val="4"/>
              </w:rPr>
            </w:r>
          </w:p>
        </w:tc>
        <w:tc>
          <w:tcPr>
            <w:tcW w:w="9571" w:type="dxa"/>
            <w:tcBorders/>
            <w:vAlign w:val="center"/>
          </w:tcPr>
          <w:p>
            <w:pPr>
              <w:pStyle w:val="TableContents"/>
              <w:bidi w:val="0"/>
              <w:spacing w:before="0" w:after="283"/>
              <w:jc w:val="left"/>
              <w:rPr>
                <w:sz w:val="4"/>
                <w:szCs w:val="4"/>
              </w:rPr>
            </w:pPr>
            <w:r>
              <w:rPr>
                <w:sz w:val="4"/>
                <w:szCs w:val="4"/>
              </w:rPr>
            </w:r>
          </w:p>
        </w:tc>
      </w:tr>
      <w:tr>
        <w:trPr/>
        <w:tc>
          <w:tcPr>
            <w:tcW w:w="6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2.1*</w:t>
            </w:r>
          </w:p>
        </w:tc>
        <w:tc>
          <w:tcPr>
            <w:tcW w:w="9571" w:type="dxa"/>
            <w:tcBorders/>
            <w:tcMar>
              <w:top w:w="0" w:type="dxa"/>
              <w:left w:w="0" w:type="dxa"/>
              <w:bottom w:w="0" w:type="dxa"/>
              <w:right w:w="0" w:type="dxa"/>
            </w:tcMar>
            <w:vAlign w:val="center"/>
          </w:tcPr>
          <w:p>
            <w:pPr>
              <w:pStyle w:val="TableContents"/>
              <w:bidi w:val="0"/>
              <w:spacing w:before="100" w:after="283"/>
              <w:jc w:val="left"/>
              <w:rPr/>
            </w:pPr>
            <w:hyperlink r:id="rId2">
              <w:r>
                <w:rPr>
                  <w:rStyle w:val="InternetLink"/>
                  <w:rFonts w:ascii="Times New Roman" w:hAnsi="Times New Roman"/>
                  <w:color w:val="0000FF"/>
                  <w:sz w:val="20"/>
                  <w:u w:val="single"/>
                </w:rPr>
                <w:t>Purchase Agreement, dated August 3, 2025, by and between CommScope Holding Company, Inc. and Amphenol Corporation (Incorporated by reference to Exhibit 2.1 to the Registrant’s Current Report on Form 8-K (File No. 001-36146), filed with the SEC on August 7, 2025).</w:t>
              </w:r>
            </w:hyperlink>
          </w:p>
        </w:tc>
      </w:tr>
      <w:tr>
        <w:trPr/>
        <w:tc>
          <w:tcPr>
            <w:tcW w:w="6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w:t>
            </w:r>
          </w:p>
        </w:tc>
        <w:tc>
          <w:tcPr>
            <w:tcW w:w="9571" w:type="dxa"/>
            <w:tcBorders/>
            <w:tcMar>
              <w:top w:w="0" w:type="dxa"/>
              <w:left w:w="0" w:type="dxa"/>
              <w:bottom w:w="0" w:type="dxa"/>
              <w:right w:w="0" w:type="dxa"/>
            </w:tcMar>
            <w:vAlign w:val="center"/>
          </w:tcPr>
          <w:p>
            <w:pPr>
              <w:pStyle w:val="TableContents"/>
              <w:bidi w:val="0"/>
              <w:spacing w:before="100" w:after="283"/>
              <w:jc w:val="left"/>
              <w:rPr/>
            </w:pPr>
            <w:hyperlink r:id="rId3">
              <w:r>
                <w:rPr>
                  <w:rStyle w:val="InternetLink"/>
                  <w:rFonts w:ascii="Times New Roman" w:hAnsi="Times New Roman"/>
                  <w:color w:val="0000FF"/>
                  <w:sz w:val="20"/>
                  <w:u w:val="single"/>
                </w:rPr>
                <w:t>Success Bonus Agreement between CommScope, LLC and Koen ter Linde (Incorporated by reference to Exhibit 10.1 to the Registrant’s Current Report on Form 8-K (File No. 001-36146), filed with the SEC on September 3, 2025).</w:t>
              </w:r>
            </w:hyperlink>
            <w:r>
              <w:rPr>
                <w:rFonts w:ascii="Times New Roman" w:hAnsi="Times New Roman"/>
                <w:color w:val="000000"/>
                <w:sz w:val="20"/>
              </w:rPr>
              <w:t>***</w:t>
            </w:r>
          </w:p>
        </w:tc>
      </w:tr>
      <w:tr>
        <w:trPr/>
        <w:tc>
          <w:tcPr>
            <w:tcW w:w="6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10.2**</w:t>
            </w:r>
          </w:p>
        </w:tc>
        <w:tc>
          <w:tcPr>
            <w:tcW w:w="9571" w:type="dxa"/>
            <w:tcBorders/>
            <w:tcMar>
              <w:top w:w="0" w:type="dxa"/>
              <w:left w:w="0" w:type="dxa"/>
              <w:bottom w:w="0" w:type="dxa"/>
              <w:right w:w="0" w:type="dxa"/>
            </w:tcMar>
            <w:vAlign w:val="center"/>
          </w:tcPr>
          <w:p>
            <w:pPr>
              <w:pStyle w:val="TableContents"/>
              <w:bidi w:val="0"/>
              <w:spacing w:before="100" w:after="283"/>
              <w:jc w:val="left"/>
              <w:rPr/>
            </w:pPr>
            <w:hyperlink w:anchor="comm-ex10_2.htm">
              <w:r>
                <w:rPr>
                  <w:rStyle w:val="InternetLink"/>
                  <w:rFonts w:ascii="Times New Roman" w:hAnsi="Times New Roman"/>
                  <w:color w:val="0000FF"/>
                  <w:sz w:val="20"/>
                  <w:u w:val="single"/>
                </w:rPr>
                <w:t>Form of Success Bonus Agreement between CommScope, LLC and Krista R. Bowen and Charles A. Gilstrap</w:t>
              </w:r>
            </w:hyperlink>
            <w:r>
              <w:rPr>
                <w:rFonts w:ascii="Times New Roman" w:hAnsi="Times New Roman"/>
                <w:color w:val="000000"/>
                <w:sz w:val="20"/>
              </w:rPr>
              <w:t>.***</w:t>
            </w:r>
          </w:p>
        </w:tc>
      </w:tr>
      <w:tr>
        <w:trPr/>
        <w:tc>
          <w:tcPr>
            <w:tcW w:w="6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w:t>
            </w:r>
          </w:p>
        </w:tc>
        <w:tc>
          <w:tcPr>
            <w:tcW w:w="9571" w:type="dxa"/>
            <w:tcBorders/>
            <w:tcMar>
              <w:top w:w="0" w:type="dxa"/>
              <w:left w:w="0" w:type="dxa"/>
              <w:bottom w:w="0" w:type="dxa"/>
              <w:right w:w="0" w:type="dxa"/>
            </w:tcMar>
            <w:vAlign w:val="center"/>
          </w:tcPr>
          <w:p>
            <w:pPr>
              <w:pStyle w:val="TableContents"/>
              <w:bidi w:val="0"/>
              <w:spacing w:before="100" w:after="283"/>
              <w:jc w:val="left"/>
              <w:rPr/>
            </w:pPr>
            <w:hyperlink r:id="rId4">
              <w:r>
                <w:rPr>
                  <w:rStyle w:val="InternetLink"/>
                  <w:rFonts w:ascii="Times New Roman" w:hAnsi="Times New Roman"/>
                  <w:color w:val="0000FF"/>
                  <w:sz w:val="20"/>
                  <w:u w:val="single"/>
                </w:rPr>
                <w:t>Notice of option amendment, dated September 24, 2025, from CommScope Holding Company, Inc. to Koen ter Linde (Incorporated by reference to Exhibit 10.1 to the Registrant’s Current Report on Form 8-K (File No. 001-36146), filed with the SEC on September 26, 2025).</w:t>
              </w:r>
            </w:hyperlink>
            <w:r>
              <w:rPr>
                <w:rFonts w:ascii="Times New Roman" w:hAnsi="Times New Roman"/>
                <w:color w:val="000000"/>
                <w:sz w:val="20"/>
              </w:rPr>
              <w:t>***</w:t>
            </w:r>
          </w:p>
        </w:tc>
      </w:tr>
      <w:tr>
        <w:trPr/>
        <w:tc>
          <w:tcPr>
            <w:tcW w:w="6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31.1 **</w:t>
            </w:r>
          </w:p>
        </w:tc>
        <w:tc>
          <w:tcPr>
            <w:tcW w:w="9571" w:type="dxa"/>
            <w:tcBorders/>
            <w:tcMar>
              <w:top w:w="0" w:type="dxa"/>
              <w:left w:w="0" w:type="dxa"/>
              <w:bottom w:w="0" w:type="dxa"/>
              <w:right w:w="0" w:type="dxa"/>
            </w:tcMar>
            <w:vAlign w:val="center"/>
          </w:tcPr>
          <w:p>
            <w:pPr>
              <w:pStyle w:val="TableContents"/>
              <w:bidi w:val="0"/>
              <w:spacing w:before="100" w:after="283"/>
              <w:jc w:val="left"/>
              <w:rPr/>
            </w:pPr>
            <w:hyperlink w:anchor="comm-ex31_1.htm">
              <w:r>
                <w:rPr>
                  <w:rStyle w:val="InternetLink"/>
                  <w:rFonts w:ascii="Times New Roman" w:hAnsi="Times New Roman"/>
                  <w:color w:val="0000FF"/>
                  <w:sz w:val="20"/>
                  <w:u w:val="single"/>
                </w:rPr>
                <w:t>Certification of Principal Executive Officer pursuant to Rule 13a-14(a).</w:t>
              </w:r>
            </w:hyperlink>
          </w:p>
        </w:tc>
      </w:tr>
      <w:tr>
        <w:trPr/>
        <w:tc>
          <w:tcPr>
            <w:tcW w:w="6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31.2 **</w:t>
            </w:r>
          </w:p>
        </w:tc>
        <w:tc>
          <w:tcPr>
            <w:tcW w:w="9571" w:type="dxa"/>
            <w:tcBorders/>
            <w:tcMar>
              <w:top w:w="0" w:type="dxa"/>
              <w:left w:w="0" w:type="dxa"/>
              <w:bottom w:w="0" w:type="dxa"/>
              <w:right w:w="0" w:type="dxa"/>
            </w:tcMar>
            <w:vAlign w:val="center"/>
          </w:tcPr>
          <w:p>
            <w:pPr>
              <w:pStyle w:val="TableContents"/>
              <w:bidi w:val="0"/>
              <w:spacing w:before="100" w:after="283"/>
              <w:jc w:val="left"/>
              <w:rPr/>
            </w:pPr>
            <w:hyperlink w:anchor="comm-ex31_2.htm">
              <w:r>
                <w:rPr>
                  <w:rStyle w:val="InternetLink"/>
                  <w:rFonts w:ascii="Times New Roman" w:hAnsi="Times New Roman"/>
                  <w:color w:val="0000FF"/>
                  <w:sz w:val="20"/>
                  <w:u w:val="single"/>
                </w:rPr>
                <w:t>Certification of Principal Financial Officer pursuant to Rule 13a-14(a).</w:t>
              </w:r>
            </w:hyperlink>
          </w:p>
        </w:tc>
      </w:tr>
      <w:tr>
        <w:trPr/>
        <w:tc>
          <w:tcPr>
            <w:tcW w:w="6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32.1 **</w:t>
            </w:r>
          </w:p>
        </w:tc>
        <w:tc>
          <w:tcPr>
            <w:tcW w:w="9571" w:type="dxa"/>
            <w:tcBorders/>
            <w:tcMar>
              <w:top w:w="0" w:type="dxa"/>
              <w:left w:w="0" w:type="dxa"/>
              <w:bottom w:w="0" w:type="dxa"/>
              <w:right w:w="0" w:type="dxa"/>
            </w:tcMar>
            <w:vAlign w:val="center"/>
          </w:tcPr>
          <w:p>
            <w:pPr>
              <w:pStyle w:val="TableContents"/>
              <w:bidi w:val="0"/>
              <w:spacing w:before="100" w:after="283"/>
              <w:jc w:val="left"/>
              <w:rPr/>
            </w:pPr>
            <w:hyperlink w:anchor="com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 (furnished pursuant to Item 601(b)(32)(ii) of Regulation S-K).</w:t>
              </w:r>
            </w:hyperlink>
          </w:p>
        </w:tc>
      </w:tr>
      <w:tr>
        <w:trPr/>
        <w:tc>
          <w:tcPr>
            <w:tcW w:w="6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101.INS</w:t>
            </w:r>
          </w:p>
        </w:tc>
        <w:tc>
          <w:tcPr>
            <w:tcW w:w="957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6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101.SCH</w:t>
            </w:r>
          </w:p>
        </w:tc>
        <w:tc>
          <w:tcPr>
            <w:tcW w:w="957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Inline XBRL Schema Document, furnished herewith.</w:t>
            </w:r>
          </w:p>
        </w:tc>
      </w:tr>
      <w:tr>
        <w:trPr/>
        <w:tc>
          <w:tcPr>
            <w:tcW w:w="6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104</w:t>
            </w:r>
          </w:p>
        </w:tc>
        <w:tc>
          <w:tcPr>
            <w:tcW w:w="957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634"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0"/>
              </w:rPr>
            </w:pPr>
            <w:r>
              <w:rPr>
                <w:rFonts w:ascii="Times New Roman" w:hAnsi="Times New Roman"/>
                <w:color w:val="000000"/>
                <w:sz w:val="20"/>
              </w:rPr>
              <w:t>*</w:t>
            </w:r>
          </w:p>
        </w:tc>
        <w:tc>
          <w:tcPr>
            <w:tcW w:w="957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Previously filed.</w:t>
            </w:r>
          </w:p>
        </w:tc>
      </w:tr>
      <w:tr>
        <w:trPr/>
        <w:tc>
          <w:tcPr>
            <w:tcW w:w="634"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0"/>
              </w:rPr>
            </w:pPr>
            <w:r>
              <w:rPr>
                <w:rFonts w:ascii="Times New Roman" w:hAnsi="Times New Roman"/>
                <w:color w:val="000000"/>
                <w:sz w:val="20"/>
              </w:rPr>
              <w:t>**</w:t>
            </w:r>
          </w:p>
        </w:tc>
        <w:tc>
          <w:tcPr>
            <w:tcW w:w="957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Filed herewith.</w:t>
            </w:r>
          </w:p>
        </w:tc>
      </w:tr>
      <w:tr>
        <w:trPr/>
        <w:tc>
          <w:tcPr>
            <w:tcW w:w="634"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0"/>
              </w:rPr>
            </w:pPr>
            <w:r>
              <w:rPr>
                <w:rFonts w:ascii="Times New Roman" w:hAnsi="Times New Roman"/>
                <w:color w:val="000000"/>
                <w:sz w:val="20"/>
              </w:rPr>
              <w:t>***</w:t>
            </w:r>
          </w:p>
        </w:tc>
        <w:tc>
          <w:tcPr>
            <w:tcW w:w="957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Management contract or compensatory plan or arrangement.</w:t>
            </w:r>
          </w:p>
        </w:tc>
      </w:tr>
    </w:tbl>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120" w:after="283"/>
        <w:jc w:val="left"/>
        <w:rPr>
          <w:rFonts w:ascii="Times New Roman" w:hAnsi="Times New Roman"/>
          <w:b/>
          <w:color w:val="000000"/>
          <w:sz w:val="20"/>
        </w:rPr>
      </w:pPr>
      <w:bookmarkStart w:id="23" w:name="signature"/>
      <w:bookmarkStart w:id="24" w:name="signatures"/>
      <w:bookmarkEnd w:id="23"/>
      <w:bookmarkEnd w:id="24"/>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32" w:type="dxa"/>
        <w:jc w:val="left"/>
        <w:tblInd w:w="0" w:type="dxa"/>
        <w:tblLayout w:type="fixed"/>
        <w:tblCellMar>
          <w:top w:w="28" w:type="dxa"/>
          <w:left w:w="28" w:type="dxa"/>
          <w:bottom w:w="28" w:type="dxa"/>
          <w:right w:w="28" w:type="dxa"/>
        </w:tblCellMar>
      </w:tblPr>
      <w:tblGrid>
        <w:gridCol w:w="1531"/>
        <w:gridCol w:w="4801"/>
      </w:tblGrid>
      <w:tr>
        <w:trPr/>
        <w:tc>
          <w:tcPr>
            <w:tcW w:w="1531"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COMMSCOPE HOLDING COMPANY, INC.</w:t>
            </w:r>
          </w:p>
        </w:tc>
      </w:tr>
      <w:tr>
        <w:trPr/>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29, 2025</w:t>
            </w:r>
          </w:p>
        </w:tc>
        <w:tc>
          <w:tcPr>
            <w:tcW w:w="4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and Chief Financial Officer</w:t>
            </w:r>
          </w:p>
        </w:tc>
      </w:tr>
      <w:tr>
        <w:trPr/>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duly authorized officer)</w:t>
            </w:r>
          </w:p>
        </w:tc>
      </w:tr>
      <w:tr>
        <w:trPr/>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5" w:name="comm-ex10_2.htm"/>
      <w:bookmarkStart w:id="26" w:name="kscommex10_2"/>
      <w:bookmarkEnd w:id="25"/>
      <w:bookmarkEnd w:id="26"/>
      <w:r>
        <w:rPr>
          <w:rFonts w:ascii="Times New Roman" w:hAnsi="Times New Roman"/>
          <w:b/>
          <w:color w:val="000000"/>
          <w:sz w:val="24"/>
        </w:rPr>
        <w:t>Exhibit 10.2</w:t>
      </w:r>
      <w:r>
        <w:br w:type="page"/>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SUCCESS BONUS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SUCCESS BONUS AGREEMENT (the “</w:t>
      </w:r>
      <w:r>
        <w:rPr>
          <w:rFonts w:ascii="Times New Roman" w:hAnsi="Times New Roman"/>
          <w:i/>
          <w:color w:val="000000"/>
          <w:sz w:val="24"/>
        </w:rPr>
        <w:t>Agreement</w:t>
      </w:r>
      <w:r>
        <w:rPr>
          <w:rFonts w:ascii="Times New Roman" w:hAnsi="Times New Roman"/>
          <w:color w:val="000000"/>
          <w:sz w:val="20"/>
        </w:rPr>
        <w:t>”</w:t>
      </w:r>
      <w:r>
        <w:rPr>
          <w:rFonts w:ascii="Times New Roman" w:hAnsi="Times New Roman"/>
          <w:color w:val="000000"/>
          <w:sz w:val="24"/>
        </w:rPr>
        <w:t>) is made and entered into this September 2, 2025, by and between CommScope, LLC (the “</w:t>
      </w:r>
      <w:r>
        <w:rPr>
          <w:rFonts w:ascii="Times New Roman" w:hAnsi="Times New Roman"/>
          <w:i/>
          <w:color w:val="000000"/>
          <w:sz w:val="24"/>
        </w:rPr>
        <w:t>Company</w:t>
      </w:r>
      <w:r>
        <w:rPr>
          <w:rFonts w:ascii="Times New Roman" w:hAnsi="Times New Roman"/>
          <w:color w:val="000000"/>
          <w:sz w:val="20"/>
        </w:rPr>
        <w:t>”</w:t>
      </w:r>
      <w:r>
        <w:rPr>
          <w:rFonts w:ascii="Times New Roman" w:hAnsi="Times New Roman"/>
          <w:color w:val="000000"/>
          <w:sz w:val="24"/>
        </w:rPr>
        <w:t>), and [●] (“</w:t>
      </w:r>
      <w:r>
        <w:rPr>
          <w:rFonts w:ascii="Times New Roman" w:hAnsi="Times New Roman"/>
          <w:i/>
          <w:color w:val="000000"/>
          <w:sz w:val="24"/>
        </w:rPr>
        <w:t>Employee</w:t>
      </w:r>
      <w:r>
        <w:rPr>
          <w:rFonts w:ascii="Times New Roman" w:hAnsi="Times New Roman"/>
          <w:color w:val="000000"/>
          <w:sz w:val="20"/>
        </w:rPr>
        <w:t>”</w:t>
      </w:r>
      <w:r>
        <w:rPr>
          <w:rFonts w:ascii="Times New Roman" w:hAnsi="Times New Roman"/>
          <w:color w:val="000000"/>
          <w:sz w:val="24"/>
        </w:rPr>
        <w:t>). For purposes of this Agreement, the Company and Employee are referred to collectively as the “</w:t>
      </w:r>
      <w:r>
        <w:rPr>
          <w:rFonts w:ascii="Times New Roman" w:hAnsi="Times New Roman"/>
          <w:i/>
          <w:color w:val="000000"/>
          <w:sz w:val="24"/>
        </w:rPr>
        <w:t>Parties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Pursuant to the Purchase Agreement by and between CommScope Holding Company, Inc. (“CHC”) and Amphenol Corporation (“Amphenol”), dated as of August 3, 2025 (the “Purchase Agreement”), Amphenol has agreed to buy, and CHC has agreed to sell, the Company’s Connectivity and Cable Solutions business (the “</w:t>
      </w:r>
      <w:r>
        <w:rPr>
          <w:rFonts w:ascii="Times New Roman" w:hAnsi="Times New Roman"/>
          <w:i/>
          <w:color w:val="000000"/>
          <w:sz w:val="24"/>
        </w:rPr>
        <w:t>Transaction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In order to recognize Employee’s valuable leadership and contributions to the success of the Company, and to encourage Employee’s continued commitment, dedication, and services leading up to the Transaction, the Company wishes to provide an incentive to encourage Employee to remain actively employed by the Company through the consummation of the Transaction (the “</w:t>
      </w:r>
      <w:r>
        <w:rPr>
          <w:rFonts w:ascii="Times New Roman" w:hAnsi="Times New Roman"/>
          <w:i/>
          <w:color w:val="000000"/>
          <w:sz w:val="24"/>
        </w:rPr>
        <w:t>Closing</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Accordingly, in consideration of the mutual promises contained herein and other good and valuable consideration, the receipt and sufficiency of which is hereby acknowledged, the Parties agree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Effectiveness</w:t>
      </w:r>
      <w:r>
        <w:rPr>
          <w:rFonts w:ascii="Times New Roman" w:hAnsi="Times New Roman"/>
          <w:color w:val="000000"/>
          <w:sz w:val="24"/>
        </w:rPr>
        <w:t>. This Agreement shall be effective as of the date first written above (the “</w:t>
      </w:r>
      <w:r>
        <w:rPr>
          <w:rFonts w:ascii="Times New Roman" w:hAnsi="Times New Roman"/>
          <w:i/>
          <w:color w:val="000000"/>
          <w:sz w:val="24"/>
        </w:rPr>
        <w:t>Effective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Bonus Award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Subject to the terms and conditions of this Agreement, upon the Closing of the Transaction, the Company will pay Employee a cash award equal to $[●], less withholding for taxes and other similar items (the “</w:t>
      </w:r>
      <w:r>
        <w:rPr>
          <w:rFonts w:ascii="Times New Roman" w:hAnsi="Times New Roman"/>
          <w:i/>
          <w:color w:val="000000"/>
          <w:sz w:val="24"/>
        </w:rPr>
        <w:t>Success</w:t>
      </w:r>
      <w:r>
        <w:rPr>
          <w:rFonts w:ascii="Times New Roman" w:hAnsi="Times New Roman"/>
          <w:color w:val="000000"/>
          <w:sz w:val="20"/>
        </w:rPr>
        <w:t xml:space="preserve"> </w:t>
      </w:r>
      <w:r>
        <w:rPr>
          <w:rFonts w:ascii="Times New Roman" w:hAnsi="Times New Roman"/>
          <w:i/>
          <w:color w:val="000000"/>
          <w:sz w:val="24"/>
        </w:rPr>
        <w:t>Bonus</w:t>
      </w:r>
      <w:r>
        <w:rPr>
          <w:rFonts w:ascii="Times New Roman" w:hAnsi="Times New Roman"/>
          <w:color w:val="000000"/>
          <w:sz w:val="20"/>
        </w:rPr>
        <w:t>”</w:t>
      </w:r>
      <w:r>
        <w:rPr>
          <w:rFonts w:ascii="Times New Roman" w:hAnsi="Times New Roman"/>
          <w:color w:val="000000"/>
          <w:sz w:val="24"/>
        </w:rPr>
        <w:t>), provided that Employee remains employed by the Company through the Closing. The Success Bonus shall be payable to Employee within thirty (30) days following the Closing.</w:t>
      </w:r>
    </w:p>
    <w:p>
      <w:pPr>
        <w:pStyle w:val="TextBody"/>
        <w:bidi w:val="0"/>
        <w:spacing w:before="0" w:after="240"/>
        <w:jc w:val="both"/>
        <w:rPr>
          <w:rFonts w:ascii="Times New Roman" w:hAnsi="Times New Roman"/>
          <w:sz w:val="20"/>
        </w:rPr>
      </w:pPr>
      <w:r>
        <w:rPr>
          <w:rFonts w:ascii="Times New Roman" w:hAnsi="Times New Roman"/>
          <w:color w:val="000000"/>
          <w:sz w:val="24"/>
        </w:rPr>
        <w:t>(b) The Parties agree that the Success Bonus is over and above any payments to which Employee may otherwise be eligible to receive.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 of Employment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the event that, prior to the Closing, (i) Employee terminates his/her employment with the Company, whether by resignation, retirement or otherwise, or (ii) the Company terminates Employee’s employment for Cause (as defined in the Company’s Long-Term Incentive Plan), then Employee shall not be entitled to payment of the Success Bonus.</w:t>
      </w:r>
    </w:p>
    <w:p>
      <w:pPr>
        <w:pStyle w:val="TextBody"/>
        <w:bidi w:val="0"/>
        <w:spacing w:before="0" w:after="240"/>
        <w:jc w:val="both"/>
        <w:rPr>
          <w:rFonts w:ascii="Times New Roman" w:hAnsi="Times New Roman"/>
          <w:sz w:val="20"/>
        </w:rPr>
      </w:pPr>
      <w:r>
        <w:rPr>
          <w:rFonts w:ascii="Times New Roman" w:hAnsi="Times New Roman"/>
          <w:color w:val="000000"/>
          <w:sz w:val="24"/>
        </w:rPr>
        <w:t>(b) The Parties agree that this Agreement does not create any rights in Employee beyond the potential right to payment of the Success Bonus that may be earned hereunder, and the potential vesting of equity awards as provided hereunder. The potential Success Bonus should be viewed as an indication of the Company’s confidence in and appreciation of Employee’s abilities and contributions, and as an additional form of compensation to meet a special purpose. Any Success Bonus earned will be in addition to any other compensation or</w:t>
      </w:r>
      <w:r>
        <w:rPr>
          <w:rFonts w:ascii="Times New Roman" w:hAnsi="Times New Roman"/>
          <w:color w:val="000000"/>
          <w:sz w:val="20"/>
        </w:rPr>
        <w:t xml:space="preserve"> </w:t>
      </w:r>
    </w:p>
    <w:p>
      <w:pPr>
        <w:pStyle w:val="TextBody"/>
        <w:bidi w:val="0"/>
        <w:jc w:val="right"/>
        <w:rPr>
          <w:rFonts w:ascii="Times New Roman" w:hAnsi="Times New Roman"/>
          <w:color w:val="000000"/>
          <w:sz w:val="20"/>
        </w:rPr>
      </w:pPr>
      <w:r>
        <w:rPr>
          <w:rFonts w:ascii="Times New Roman" w:hAnsi="Times New Roman"/>
          <w:color w:val="000000"/>
          <w:sz w:val="20"/>
        </w:rPr>
        <w:t>Employee Initials: ______</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benefits that Employee may otherwise be eligible to receive from the Company and is not a permanent or recurring element of Employee’s compensation at the Company. Unless otherwise required by applicable law, the Success Bonus will not impact any other element of compensation for which Employee may otherwise be eligible.</w:t>
      </w:r>
    </w:p>
    <w:p>
      <w:pPr>
        <w:pStyle w:val="TextBody"/>
        <w:bidi w:val="0"/>
        <w:spacing w:before="0" w:after="240"/>
        <w:jc w:val="both"/>
        <w:rPr>
          <w:rFonts w:ascii="Times New Roman" w:hAnsi="Times New Roman"/>
          <w:sz w:val="20"/>
        </w:rPr>
      </w:pPr>
      <w:r>
        <w:rPr>
          <w:rFonts w:ascii="Times New Roman" w:hAnsi="Times New Roman"/>
          <w:color w:val="000000"/>
          <w:sz w:val="24"/>
        </w:rPr>
        <w:t>(c) Notwithstanding anything to the contrary in this Agreement or in the Severance Protection Agreement, dated as of [●], 2025, between the Company and Employee (the “</w:t>
      </w:r>
      <w:r>
        <w:rPr>
          <w:rFonts w:ascii="Times New Roman" w:hAnsi="Times New Roman"/>
          <w:i/>
          <w:color w:val="000000"/>
          <w:sz w:val="24"/>
        </w:rPr>
        <w:t>SPA</w:t>
      </w:r>
      <w:r>
        <w:rPr>
          <w:rFonts w:ascii="Times New Roman" w:hAnsi="Times New Roman"/>
          <w:color w:val="000000"/>
          <w:sz w:val="20"/>
        </w:rPr>
        <w:t>”</w:t>
      </w:r>
      <w:r>
        <w:rPr>
          <w:rFonts w:ascii="Times New Roman" w:hAnsi="Times New Roman"/>
          <w:color w:val="000000"/>
          <w:sz w:val="24"/>
        </w:rPr>
        <w:t>), Employee acknowledges and agrees that if Employee becomes entitled to receive a Success Bonus under this Agreement, then he/she shall not be entitled to any compensation or benefits pursuant to the SPA in connection with the termination of his/her employment with the Company or its affiliates upon the Closing of the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Confidentiality</w:t>
      </w:r>
      <w:r>
        <w:rPr>
          <w:rFonts w:ascii="Times New Roman" w:hAnsi="Times New Roman"/>
          <w:color w:val="000000"/>
          <w:sz w:val="24"/>
        </w:rPr>
        <w:t>. Employee acknowledges that the terms of this Agreement are confidential. Accordingly, Employee agrees not to disclose or publish, verbally, in writing or otherwise, to any person or entity, except his/her spouse, his/her legal and tax advisors, or as required by law, any of the details leading up to the making of this Agreement, the terms and conditions or sums being paid in connection with this Agreement, or whether the terms of the Agreement are satisfactory in his/her opinion.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Employment Status</w:t>
      </w:r>
      <w:r>
        <w:rPr>
          <w:rFonts w:ascii="Times New Roman" w:hAnsi="Times New Roman"/>
          <w:color w:val="000000"/>
          <w:sz w:val="24"/>
        </w:rPr>
        <w:t>. Nothing in this Agreement shall be construed as a commitment, guarantee, agreement, or understanding of any kind or nature that the Company will continue to employ Employee, nor will this Agreement affect in any way the right of the Company to terminate Employee’s employment at any time and for any reason (unless otherwise agreed to by the Parties separately in writing). Employee acknowledges and agrees that he/she is an “at will” employee. This Agreement does not amend or modify any employment agreement, offer letter, or terms of employment between Employee and the Company or any of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Section 409A</w:t>
      </w:r>
      <w:r>
        <w:rPr>
          <w:rFonts w:ascii="Times New Roman" w:hAnsi="Times New Roman"/>
          <w:color w:val="000000"/>
          <w:sz w:val="24"/>
        </w:rPr>
        <w:t>. To the extent Employee is subject to U.S. taxes, this Agreement shall be interpreted and administered in a manner so that any amount or benefit payable hereunder shall be paid or provided in a manner that is either exempt from or compliant with the requirements of Section 409A of the Internal Revenue Code of 1986, as amended (the “</w:t>
      </w:r>
      <w:r>
        <w:rPr>
          <w:rFonts w:ascii="Times New Roman" w:hAnsi="Times New Roman"/>
          <w:i/>
          <w:color w:val="000000"/>
          <w:sz w:val="24"/>
        </w:rPr>
        <w:t>Code</w:t>
      </w:r>
      <w:r>
        <w:rPr>
          <w:color w:val="000000"/>
        </w:rPr>
        <w:t>”</w:t>
      </w:r>
      <w:r>
        <w:rPr>
          <w:rFonts w:ascii="Times New Roman" w:hAnsi="Times New Roman"/>
          <w:color w:val="000000"/>
          <w:sz w:val="24"/>
        </w:rPr>
        <w:t xml:space="preserve">), and applicable Internal Revenue Service guidance and Treasury Regulations issued thereunder. Nevertheless, the tax treatment of the payments and benefits provided under the Agreement is not warranted or guaranteed. Neither the Company, its affiliates, nor their directors, officers, employees or advisers (other than Employee) shall be held liable for any taxes, interest, penalties or other monetary amounts owed by Employee as a result of the application of Section 409A of the Code.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Applicable Law; Forum Selection; Consent to Jurisdiction</w:t>
      </w:r>
      <w:r>
        <w:rPr>
          <w:rFonts w:ascii="Times New Roman" w:hAnsi="Times New Roman"/>
          <w:color w:val="000000"/>
          <w:sz w:val="24"/>
        </w:rPr>
        <w:t xml:space="preserve">. The Parties agree that this Agreement shall be governed by and construed and interpreted in accordance with the laws of the State of North Carolina without giving effect to its conflicts of law principles. Employee agrees that the exclusive forum for any action to enforce this Agreement, as well as any action relating to or arising out of this Agreement, shall be the state or federal courts of the State of North Carolina. With respect to any such court action, Employee hereby (a) irrevocably submits to the personal jurisdiction of such courts; (b) consents to service of process; (c) consents to venue; and (d) waives any other requirement (whether imposed by statute, rule of court, or otherwise) with respect to personal jurisdiction, service of process, or venue. Both Parties hereto further agree </w:t>
      </w:r>
    </w:p>
    <w:p>
      <w:pPr>
        <w:pStyle w:val="TextBody"/>
        <w:bidi w:val="0"/>
        <w:jc w:val="center"/>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p>
    <w:p>
      <w:pPr>
        <w:pStyle w:val="TextBody"/>
        <w:bidi w:val="0"/>
        <w:jc w:val="right"/>
        <w:rPr>
          <w:rFonts w:ascii="Times New Roman" w:hAnsi="Times New Roman"/>
          <w:color w:val="000000"/>
          <w:sz w:val="20"/>
        </w:rPr>
      </w:pPr>
      <w:r>
        <w:rPr>
          <w:rFonts w:ascii="Times New Roman" w:hAnsi="Times New Roman"/>
          <w:color w:val="000000"/>
          <w:sz w:val="20"/>
        </w:rPr>
        <w:t>Employee Initials: _____</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the state and federal courts of the State of North Carolina are convenient forums for any dispute that may arise herefrom and that neither party shall raise as a defense that such courts are not convenient forums.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invalidity or unenforceability of any provision of this Agreement shall not affect the validity or enforceability of any other provision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Waiver</w:t>
      </w:r>
      <w:r>
        <w:rPr>
          <w:rFonts w:ascii="Times New Roman" w:hAnsi="Times New Roman"/>
          <w:color w:val="000000"/>
          <w:sz w:val="24"/>
        </w:rPr>
        <w:t>. Failure of either Party to insist, in one or more instances, on performance by the other in strict accordance with the terms and conditions of this Agreement shall not be deemed a waiver or relinquishment of any right granted in this Agreement or of the future performance of any such term or condition or of any other term or condition of this Agreement, unless such waiver is contained in a writing signed by the Party making the waiver.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Entire Agreement; Amendment</w:t>
      </w:r>
      <w:r>
        <w:rPr>
          <w:rFonts w:ascii="Times New Roman" w:hAnsi="Times New Roman"/>
          <w:color w:val="000000"/>
          <w:sz w:val="24"/>
        </w:rPr>
        <w:t>. This Agreement contains the entire agreement between the Company and Employee with respect to the subject matter hereof and, from and after the date hereof, this Agreement shall supersede any other agreement, written or oral, between the Parties relating to the subject matter of this Agreement. This Agreement may not be amended or modified otherwise than by a written agreement executed by the Parties hereto or their respective successors and legal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Assignment</w:t>
      </w:r>
      <w:r>
        <w:rPr>
          <w:rFonts w:ascii="Times New Roman" w:hAnsi="Times New Roman"/>
          <w:color w:val="000000"/>
          <w:sz w:val="24"/>
        </w:rPr>
        <w:t>. The rights and obligations of the Company may be assigned, and this Agreement shall be binding and inure to the benefit of the Company, its successors and assigns. No right, obligation or duty of this Agreement may be assigned by Employee without the prior written consent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Construction</w:t>
      </w:r>
      <w:r>
        <w:rPr>
          <w:rFonts w:ascii="Times New Roman" w:hAnsi="Times New Roman"/>
          <w:color w:val="000000"/>
          <w:sz w:val="24"/>
        </w:rPr>
        <w:t>. The Parties understand and agree that because they both have been given the opportunity to have counsel review and revise this Agreement, the normal rule of construction to the effect that any ambiguities are to be resolved against the drafting party shall not be employed in the interpretation of this Agreement. Instead, the language of all parts of this Agreement shall be construed as a whole, and according to its fair meaning, and not strictly for or against either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counterparts (including by means of electronic signature, such as DocuSign), each of which shall be deemed an original, but all of which together shall constitute a single instrument. Execution of this Agreement may be made by providing a signed original copy or providing a signature via facsimile or other electronic means, such as portable document format (PDF).</w:t>
      </w:r>
    </w:p>
    <w:p>
      <w:pPr>
        <w:pStyle w:val="TextBody"/>
        <w:bidi w:val="0"/>
        <w:jc w:val="center"/>
        <w:rPr>
          <w:rFonts w:ascii="Times New Roman" w:hAnsi="Times New Roman"/>
          <w:color w:val="000000"/>
          <w:sz w:val="24"/>
        </w:rPr>
      </w:pPr>
      <w:r>
        <w:rPr>
          <w:rFonts w:ascii="Times New Roman" w:hAnsi="Times New Roman"/>
          <w:color w:val="000000"/>
          <w:sz w:val="24"/>
        </w:rPr>
        <w:t>[signatures appear on following page]</w:t>
      </w:r>
    </w:p>
    <w:p>
      <w:pPr>
        <w:pStyle w:val="TextBody"/>
        <w:bidi w:val="0"/>
        <w:jc w:val="center"/>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p>
    <w:p>
      <w:pPr>
        <w:pStyle w:val="TextBody"/>
        <w:bidi w:val="0"/>
        <w:jc w:val="right"/>
        <w:rPr>
          <w:rFonts w:ascii="Times New Roman" w:hAnsi="Times New Roman"/>
          <w:color w:val="000000"/>
          <w:sz w:val="20"/>
        </w:rPr>
      </w:pPr>
      <w:r>
        <w:rPr>
          <w:rFonts w:ascii="Times New Roman" w:hAnsi="Times New Roman"/>
          <w:color w:val="000000"/>
          <w:sz w:val="20"/>
        </w:rPr>
        <w:t>Employee Initials: _____</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IN WITNESS WHEREOF, the Parties hereto have duly executed and delivered this Agreement.</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Employee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Date: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CommScope, LLC</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Name: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Title: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Date: </w:t>
      </w:r>
    </w:p>
    <w:p>
      <w:pPr>
        <w:pStyle w:val="TextBody"/>
        <w:bidi w:val="0"/>
        <w:jc w:val="center"/>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p>
    <w:p>
      <w:pPr>
        <w:pStyle w:val="TextBody"/>
        <w:bidi w:val="0"/>
        <w:jc w:val="right"/>
        <w:rPr>
          <w:rFonts w:ascii="Times New Roman" w:hAnsi="Times New Roman"/>
          <w:color w:val="000000"/>
          <w:sz w:val="20"/>
        </w:rPr>
      </w:pPr>
      <w:r>
        <w:rPr>
          <w:rFonts w:ascii="Times New Roman" w:hAnsi="Times New Roman"/>
          <w:color w:val="000000"/>
          <w:sz w:val="20"/>
        </w:rPr>
        <w:t>Employee Initials: _____</w:t>
      </w:r>
    </w:p>
    <w:p>
      <w:pPr>
        <w:pStyle w:val="HorizontalLine"/>
        <w:pBdr>
          <w:bottom w:val="double" w:sz="2" w:space="0" w:color="808080"/>
        </w:pBdr>
        <w:bidi w:val="0"/>
        <w:spacing w:before="0" w:after="283"/>
        <w:jc w:val="left"/>
        <w:rPr/>
      </w:pPr>
      <w:r>
        <w:rPr/>
      </w:r>
    </w:p>
    <w:p>
      <w:pPr>
        <w:pStyle w:val="TextBody"/>
        <w:bidi w:val="0"/>
        <w:jc w:val="left"/>
        <w:rPr/>
      </w:pPr>
      <w:bookmarkStart w:id="27" w:name="comm-ex31_1.htm"/>
      <w:bookmarkStart w:id="28" w:name="kscommex31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Charles L. Treadway,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CommScope Holding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977" w:type="dxa"/>
        <w:jc w:val="left"/>
        <w:tblInd w:w="0" w:type="dxa"/>
        <w:tblLayout w:type="fixed"/>
        <w:tblCellMar>
          <w:top w:w="28" w:type="dxa"/>
          <w:left w:w="28" w:type="dxa"/>
          <w:bottom w:w="28" w:type="dxa"/>
          <w:right w:w="28" w:type="dxa"/>
        </w:tblCellMar>
      </w:tblPr>
      <w:tblGrid>
        <w:gridCol w:w="646"/>
        <w:gridCol w:w="6331"/>
      </w:tblGrid>
      <w:tr>
        <w:trPr/>
        <w:tc>
          <w:tcPr>
            <w:tcW w:w="646" w:type="dxa"/>
            <w:tcBorders/>
            <w:vAlign w:val="center"/>
          </w:tcPr>
          <w:p>
            <w:pPr>
              <w:pStyle w:val="TableContents"/>
              <w:bidi w:val="0"/>
              <w:spacing w:before="0" w:after="283"/>
              <w:jc w:val="left"/>
              <w:rPr>
                <w:sz w:val="4"/>
                <w:szCs w:val="4"/>
              </w:rPr>
            </w:pPr>
            <w:r>
              <w:rPr>
                <w:sz w:val="4"/>
                <w:szCs w:val="4"/>
              </w:rPr>
            </w:r>
          </w:p>
        </w:tc>
        <w:tc>
          <w:tcPr>
            <w:tcW w:w="6331" w:type="dxa"/>
            <w:tcBorders/>
            <w:vAlign w:val="center"/>
          </w:tcPr>
          <w:p>
            <w:pPr>
              <w:pStyle w:val="TableContents"/>
              <w:bidi w:val="0"/>
              <w:spacing w:before="0" w:after="283"/>
              <w:jc w:val="left"/>
              <w:rPr>
                <w:sz w:val="4"/>
                <w:szCs w:val="4"/>
              </w:rPr>
            </w:pPr>
            <w:r>
              <w:rPr>
                <w:sz w:val="4"/>
                <w:szCs w:val="4"/>
              </w:rPr>
            </w:r>
          </w:p>
        </w:tc>
      </w:tr>
      <w:tr>
        <w:trPr/>
        <w:tc>
          <w:tcPr>
            <w:tcW w:w="69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29, 2025</w:t>
            </w:r>
          </w:p>
        </w:tc>
      </w:tr>
      <w:tr>
        <w:trPr/>
        <w:tc>
          <w:tcPr>
            <w:tcW w:w="69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L. Treadway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L. Treadway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comm-ex31_2.htm"/>
      <w:bookmarkStart w:id="30" w:name="kscommex31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Kyle D. Lorentzen,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CommScope Holding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397" w:type="dxa"/>
        <w:jc w:val="left"/>
        <w:tblInd w:w="0" w:type="dxa"/>
        <w:tblLayout w:type="fixed"/>
        <w:tblCellMar>
          <w:top w:w="28" w:type="dxa"/>
          <w:left w:w="28" w:type="dxa"/>
          <w:bottom w:w="28" w:type="dxa"/>
          <w:right w:w="28" w:type="dxa"/>
        </w:tblCellMar>
      </w:tblPr>
      <w:tblGrid>
        <w:gridCol w:w="646"/>
        <w:gridCol w:w="6751"/>
      </w:tblGrid>
      <w:tr>
        <w:trPr/>
        <w:tc>
          <w:tcPr>
            <w:tcW w:w="646" w:type="dxa"/>
            <w:tcBorders/>
            <w:vAlign w:val="center"/>
          </w:tcPr>
          <w:p>
            <w:pPr>
              <w:pStyle w:val="TableContents"/>
              <w:bidi w:val="0"/>
              <w:spacing w:before="0" w:after="283"/>
              <w:jc w:val="left"/>
              <w:rPr>
                <w:sz w:val="4"/>
                <w:szCs w:val="4"/>
              </w:rPr>
            </w:pPr>
            <w:r>
              <w:rPr>
                <w:sz w:val="4"/>
                <w:szCs w:val="4"/>
              </w:rPr>
            </w:r>
          </w:p>
        </w:tc>
        <w:tc>
          <w:tcPr>
            <w:tcW w:w="6751" w:type="dxa"/>
            <w:tcBorders/>
            <w:vAlign w:val="center"/>
          </w:tcPr>
          <w:p>
            <w:pPr>
              <w:pStyle w:val="TableContents"/>
              <w:bidi w:val="0"/>
              <w:spacing w:before="0" w:after="283"/>
              <w:jc w:val="left"/>
              <w:rPr>
                <w:sz w:val="4"/>
                <w:szCs w:val="4"/>
              </w:rPr>
            </w:pPr>
            <w:r>
              <w:rPr>
                <w:sz w:val="4"/>
                <w:szCs w:val="4"/>
              </w:rPr>
            </w:r>
          </w:p>
        </w:tc>
      </w:tr>
      <w:tr>
        <w:trPr/>
        <w:tc>
          <w:tcPr>
            <w:tcW w:w="7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29, 2025</w:t>
            </w:r>
          </w:p>
        </w:tc>
      </w:tr>
      <w:tr>
        <w:trPr/>
        <w:tc>
          <w:tcPr>
            <w:tcW w:w="7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comm-ex32_1.htm"/>
      <w:bookmarkStart w:id="32" w:name="kscomm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CommScope Holding Company, Inc. (the “Company”) on Form 10-Q for the quarter ended September 30, 2025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283"/>
              <w:jc w:val="left"/>
              <w:rPr>
                <w:sz w:val="4"/>
                <w:szCs w:val="4"/>
              </w:rPr>
            </w:pPr>
            <w:r>
              <w:rPr>
                <w:sz w:val="4"/>
                <w:szCs w:val="4"/>
              </w:rPr>
            </w:r>
          </w:p>
        </w:tc>
      </w:tr>
      <w:tr>
        <w:trPr/>
        <w:tc>
          <w:tcPr>
            <w:tcW w:w="397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Dated: October 29, 2025</w:t>
            </w:r>
          </w:p>
        </w:tc>
      </w:tr>
      <w:tr>
        <w:trPr/>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L. Treadway</w:t>
            </w:r>
          </w:p>
        </w:tc>
      </w:tr>
      <w:tr>
        <w:trPr/>
        <w:tc>
          <w:tcPr>
            <w:tcW w:w="397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Charles L. Treadway</w:t>
            </w:r>
          </w:p>
        </w:tc>
      </w:tr>
      <w:tr>
        <w:trPr/>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7228/000119312525175444/d21486dex21.htm" TargetMode="External"/><Relationship Id="rId3" Type="http://schemas.openxmlformats.org/officeDocument/2006/relationships/hyperlink" Target="https://www.sec.gov/Archives/edgar/data/1517228/000095017025112825/comm-ex10_1.htm" TargetMode="External"/><Relationship Id="rId4" Type="http://schemas.openxmlformats.org/officeDocument/2006/relationships/hyperlink" Target="https://www.sec.gov/Archives/edgar/data/1517228/000119312525218510/comm-ex10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28891</Words>
  <Characters>158008</Characters>
  <CharactersWithSpaces>190845</CharactersWithSpaces>
  <Paragraphs>12931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