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4" w:lineRule="exact"/>
        <w:rPr>
          <w:rFonts w:ascii="MS PGothic" w:cs="MS PGothic" w:eastAsia="MS PGothic" w:hAnsi="MS PGothic"/>
          <w:sz w:val="18"/>
          <w:szCs w:val="18"/>
          <w:color w:val="auto"/>
          <w:highlight w:val="black"/>
        </w:rPr>
      </w:pPr>
    </w:p>
    <w:p>
      <w:pPr>
        <w:ind w:left="37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1934</w:t>
      </w: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001-36146</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Vistance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880" w:type="dxa"/>
            <w:vAlign w:val="bottom"/>
          </w:tcPr>
          <w:p>
            <w:pPr>
              <w:jc w:val="center"/>
              <w:ind w:left="1682"/>
              <w:spacing w:after="0" w:line="205"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center"/>
              <w:ind w:right="1623"/>
              <w:spacing w:after="0" w:line="205" w:lineRule="exact"/>
              <w:rPr>
                <w:sz w:val="20"/>
                <w:szCs w:val="20"/>
                <w:color w:val="auto"/>
              </w:rPr>
            </w:pPr>
            <w:r>
              <w:rPr>
                <w:rFonts w:ascii="Times New Roman" w:cs="Times New Roman" w:eastAsia="Times New Roman" w:hAnsi="Times New Roman"/>
                <w:sz w:val="18"/>
                <w:szCs w:val="18"/>
                <w:b w:val="1"/>
                <w:bCs w:val="1"/>
                <w:color w:val="auto"/>
                <w:w w:val="98"/>
              </w:rPr>
              <w:t>27-4332098</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jc w:val="center"/>
              <w:ind w:right="160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2601 Telecom Parkway</w:t>
            </w:r>
          </w:p>
        </w:tc>
        <w:tc>
          <w:tcPr>
            <w:tcW w:w="3920" w:type="dxa"/>
            <w:vAlign w:val="bottom"/>
          </w:tcPr>
          <w:p>
            <w:pPr>
              <w:jc w:val="center"/>
              <w:ind w:right="162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Richardson, Texas</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5"/>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22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75082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4"/>
          </w:tcPr>
          <w:p>
            <w:pPr>
              <w:jc w:val="center"/>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23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(972) 952-9700</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3920" w:type="dxa"/>
            <w:vAlign w:val="bottom"/>
            <w:vMerge w:val="restart"/>
          </w:tcPr>
          <w:p>
            <w:pPr>
              <w:jc w:val="center"/>
              <w:ind w:right="10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rPr>
              <w:t>VISN</w:t>
            </w: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17"/>
                <w:szCs w:val="17"/>
                <w:color w:val="auto"/>
              </w:rPr>
            </w:pPr>
          </w:p>
        </w:tc>
        <w:tc>
          <w:tcPr>
            <w:tcW w:w="3920" w:type="dxa"/>
            <w:vAlign w:val="bottom"/>
            <w:tcBorders>
              <w:top w:val="single" w:sz="8" w:color="auto"/>
            </w:tcBorders>
          </w:tcPr>
          <w:p>
            <w:pPr>
              <w:jc w:val="center"/>
              <w:ind w:right="1043"/>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9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2"/>
        </w:trPr>
        <w:tc>
          <w:tcPr>
            <w:tcW w:w="18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4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20, 2026, there were 225,569,631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1050925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I—Financial Information (Unaudited):</w:t>
            </w:r>
          </w:p>
        </w:tc>
        <w:tc>
          <w:tcPr>
            <w:tcW w:w="162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6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7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14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31"/>
        </w:trPr>
        <w:tc>
          <w:tcPr>
            <w:tcW w:w="460" w:type="dxa"/>
            <w:vAlign w:val="bottom"/>
          </w:tcPr>
          <w:p>
            <w:pPr>
              <w:spacing w:after="0"/>
              <w:rPr>
                <w:sz w:val="24"/>
                <w:szCs w:val="24"/>
                <w:color w:val="auto"/>
              </w:rPr>
            </w:pPr>
          </w:p>
        </w:tc>
        <w:tc>
          <w:tcPr>
            <w:tcW w:w="4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240" w:type="dxa"/>
            <w:vAlign w:val="bottom"/>
            <w:gridSpan w:val="6"/>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31"/>
        </w:trPr>
        <w:tc>
          <w:tcPr>
            <w:tcW w:w="460" w:type="dxa"/>
            <w:vAlign w:val="bottom"/>
          </w:tcPr>
          <w:p>
            <w:pPr>
              <w:spacing w:after="0"/>
              <w:rPr>
                <w:sz w:val="24"/>
                <w:szCs w:val="24"/>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162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31"/>
        </w:trPr>
        <w:tc>
          <w:tcPr>
            <w:tcW w:w="460" w:type="dxa"/>
            <w:vAlign w:val="bottom"/>
          </w:tcPr>
          <w:p>
            <w:pPr>
              <w:spacing w:after="0"/>
              <w:rPr>
                <w:sz w:val="24"/>
                <w:szCs w:val="24"/>
                <w:color w:val="auto"/>
              </w:rPr>
            </w:pP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280" w:type="dxa"/>
            <w:vAlign w:val="bottom"/>
            <w:gridSpan w:val="1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45"/>
        </w:trPr>
        <w:tc>
          <w:tcPr>
            <w:tcW w:w="46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4820" w:type="dxa"/>
            <w:vAlign w:val="bottom"/>
            <w:tcBorders>
              <w:top w:val="single" w:sz="8" w:color="0000FF"/>
            </w:tcBorders>
            <w:gridSpan w:val="10"/>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45"/>
        </w:trPr>
        <w:tc>
          <w:tcPr>
            <w:tcW w:w="460" w:type="dxa"/>
            <w:vAlign w:val="bottom"/>
          </w:tcPr>
          <w:p>
            <w:pPr>
              <w:spacing w:after="0"/>
              <w:rPr>
                <w:sz w:val="24"/>
                <w:szCs w:val="24"/>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44"/>
        </w:trPr>
        <w:tc>
          <w:tcPr>
            <w:tcW w:w="460" w:type="dxa"/>
            <w:vAlign w:val="bottom"/>
          </w:tcPr>
          <w:p>
            <w:pPr>
              <w:spacing w:after="0"/>
              <w:rPr>
                <w:sz w:val="24"/>
                <w:szCs w:val="24"/>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84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45"/>
        </w:trPr>
        <w:tc>
          <w:tcPr>
            <w:tcW w:w="46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3"/>
          </w:tcPr>
          <w:p>
            <w:pPr>
              <w:spacing w:after="0"/>
              <w:rPr>
                <w:sz w:val="24"/>
                <w:szCs w:val="24"/>
                <w:color w:val="auto"/>
              </w:rPr>
            </w:pPr>
          </w:p>
        </w:tc>
        <w:tc>
          <w:tcPr>
            <w:tcW w:w="7300" w:type="dxa"/>
            <w:vAlign w:val="bottom"/>
            <w:gridSpan w:val="1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31"/>
        </w:trPr>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268"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CFF"/>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 agreement income</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Restructuring costs, net</w:t>
            </w:r>
          </w:p>
        </w:tc>
        <w:tc>
          <w:tcPr>
            <w:tcW w:w="8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Income from discontinued operations, net of income tax</w:t>
            </w:r>
          </w:p>
        </w:tc>
        <w:tc>
          <w:tcPr>
            <w:tcW w:w="840" w:type="dxa"/>
            <w:vAlign w:val="bottom"/>
            <w:shd w:val="clear" w:color="auto" w:fill="CCECFF"/>
          </w:tcPr>
          <w:p>
            <w:pPr>
              <w:spacing w:after="0"/>
              <w:rPr>
                <w:sz w:val="17"/>
                <w:szCs w:val="17"/>
                <w:color w:val="auto"/>
              </w:rPr>
            </w:pP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5,276.3</w:t>
            </w:r>
          </w:p>
        </w:tc>
        <w:tc>
          <w:tcPr>
            <w:tcW w:w="3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98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expense of $1,609.6 and $413.8, respectively</w:t>
            </w:r>
          </w:p>
        </w:tc>
        <w:tc>
          <w:tcPr>
            <w:tcW w:w="840" w:type="dxa"/>
            <w:vAlign w:val="bottom"/>
            <w:tcBorders>
              <w:bottom w:val="single" w:sz="8" w:color="auto"/>
            </w:tcBorders>
            <w:shd w:val="clear" w:color="auto" w:fill="CCECFF"/>
          </w:tcPr>
          <w:p>
            <w:pPr>
              <w:spacing w:after="0"/>
              <w:rPr>
                <w:sz w:val="19"/>
                <w:szCs w:val="19"/>
                <w:color w:val="auto"/>
              </w:rPr>
            </w:pPr>
          </w:p>
        </w:tc>
        <w:tc>
          <w:tcPr>
            <w:tcW w:w="560" w:type="dxa"/>
            <w:vAlign w:val="bottom"/>
            <w:tcBorders>
              <w:bottom w:val="single" w:sz="8" w:color="auto"/>
            </w:tcBorders>
            <w:vMerge w:val="continue"/>
            <w:shd w:val="clear" w:color="auto" w:fill="CCECFF"/>
          </w:tcPr>
          <w:p>
            <w:pPr>
              <w:spacing w:after="0"/>
              <w:rPr>
                <w:sz w:val="19"/>
                <w:szCs w:val="19"/>
                <w:color w:val="auto"/>
              </w:rPr>
            </w:pPr>
          </w:p>
        </w:tc>
        <w:tc>
          <w:tcPr>
            <w:tcW w:w="32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vMerge w:val="continue"/>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5,508.0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84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84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5,506.3</w:t>
            </w:r>
          </w:p>
        </w:tc>
        <w:tc>
          <w:tcPr>
            <w:tcW w:w="3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from continuing operations per share</w:t>
            </w:r>
          </w:p>
        </w:tc>
        <w:tc>
          <w:tcPr>
            <w:tcW w:w="840" w:type="dxa"/>
            <w:vAlign w:val="bottom"/>
            <w:shd w:val="clear" w:color="auto" w:fill="CCECFF"/>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tcBorders>
              <w:bottom w:val="single" w:sz="8" w:color="auto"/>
            </w:tcBorders>
            <w:shd w:val="clear" w:color="auto" w:fill="CCECFF"/>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3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continuing operations per share</w:t>
            </w: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8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-3726815</wp:posOffset>
            </wp:positionV>
            <wp:extent cx="9398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-3726815</wp:posOffset>
            </wp:positionV>
            <wp:extent cx="10287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-3148330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-3148330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-2865755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-2865755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-2454275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-2454275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-1305560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-1288415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-730885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00"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8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5,508.0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18"/>
                <w:szCs w:val="18"/>
                <w:color w:val="auto"/>
              </w:rPr>
            </w:pPr>
          </w:p>
        </w:tc>
      </w:tr>
      <w:tr>
        <w:trPr>
          <w:trHeight w:val="216"/>
        </w:trPr>
        <w:tc>
          <w:tcPr>
            <w:tcW w:w="78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198"/>
        </w:trPr>
        <w:tc>
          <w:tcPr>
            <w:tcW w:w="7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 translation gain, net of</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reclassifications to net income</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0"/>
                <w:szCs w:val="20"/>
                <w:color w:val="auto"/>
              </w:rPr>
            </w:pPr>
          </w:p>
        </w:tc>
      </w:tr>
      <w:tr>
        <w:trPr>
          <w:trHeight w:val="216"/>
        </w:trPr>
        <w:tc>
          <w:tcPr>
            <w:tcW w:w="7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activity</w:t>
            </w:r>
          </w:p>
        </w:tc>
        <w:tc>
          <w:tcPr>
            <w:tcW w:w="8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hedging instruments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78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88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top w:val="single" w:sz="8" w:color="auto"/>
              <w:bottom w:val="single" w:sz="8" w:color="auto"/>
            </w:tcBorders>
            <w:shd w:val="clear" w:color="auto" w:fill="CCECFF"/>
          </w:tcPr>
          <w:p>
            <w:pPr>
              <w:spacing w:after="0"/>
              <w:rPr>
                <w:sz w:val="18"/>
                <w:szCs w:val="18"/>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5,627.8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3"/>
                <w:szCs w:val="13"/>
                <w:color w:val="auto"/>
              </w:rPr>
            </w:pPr>
          </w:p>
        </w:tc>
        <w:tc>
          <w:tcPr>
            <w:tcW w:w="18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C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9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of $0.7 and $1.6, respectively</w:t>
            </w:r>
          </w:p>
        </w:tc>
        <w:tc>
          <w:tcPr>
            <w:tcW w:w="9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30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$178.3 and $174.5, respectively</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CCEC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tcBorders>
              <w:bottom w:val="single" w:sz="8" w:color="CCEC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1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shd w:val="clear" w:color="auto" w:fill="CCEC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30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2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9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300" w:type="dxa"/>
            <w:vAlign w:val="bottom"/>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shares: None and 1,278,653, respectively,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9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Issued and outstanding shares: 225,513,374 and 223,260,316,</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9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(3,040.8)</w:t>
            </w: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198"/>
        </w:trPr>
        <w:tc>
          <w:tcPr>
            <w:tcW w:w="608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at cost: 19,766,856 shares and</w:t>
            </w:r>
          </w:p>
        </w:tc>
        <w:tc>
          <w:tcPr>
            <w:tcW w:w="9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18,665,426 shares, respectively</w:t>
            </w:r>
          </w:p>
        </w:tc>
        <w:tc>
          <w:tcPr>
            <w:tcW w:w="9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(355.2)</w:t>
            </w:r>
          </w:p>
        </w:tc>
        <w:tc>
          <w:tcPr>
            <w:tcW w:w="22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220" w:type="dxa"/>
            <w:vAlign w:val="bottom"/>
            <w:gridSpan w:val="2"/>
            <w:shd w:val="clear" w:color="auto" w:fill="CCEC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-3522345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-3668395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-3522345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-3668395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-2948305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-2403475</wp:posOffset>
            </wp:positionV>
            <wp:extent cx="939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-2403475</wp:posOffset>
            </wp:positionV>
            <wp:extent cx="1028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-328930</wp:posOffset>
            </wp:positionV>
            <wp:extent cx="939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-328930</wp:posOffset>
            </wp:positionV>
            <wp:extent cx="10287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jc w:val="center"/>
        <w:ind w:right="120"/>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199"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3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(7,007.9)</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(869.7)</w:t>
            </w:r>
          </w:p>
        </w:tc>
      </w:tr>
      <w:tr>
        <w:trPr>
          <w:trHeight w:val="216"/>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write-off of unamortized DFF and OID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848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8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848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(274.5)</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r>
      <w:tr>
        <w:trPr>
          <w:trHeight w:val="210"/>
        </w:trPr>
        <w:tc>
          <w:tcPr>
            <w:tcW w:w="8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480" w:type="dxa"/>
            <w:vAlign w:val="bottom"/>
            <w:tcBorders>
              <w:bottom w:val="single" w:sz="8" w:color="CCECFF"/>
            </w:tcBorders>
          </w:tcPr>
          <w:p>
            <w:pPr>
              <w:ind w:left="80"/>
              <w:spacing w:after="0"/>
              <w:rPr>
                <w:sz w:val="20"/>
                <w:szCs w:val="20"/>
                <w:color w:val="auto"/>
              </w:rPr>
            </w:pPr>
            <w:r>
              <w:rPr>
                <w:rFonts w:ascii="Times New Roman" w:cs="Times New Roman" w:eastAsia="Times New Roman" w:hAnsi="Times New Roman"/>
                <w:sz w:val="18"/>
                <w:szCs w:val="18"/>
                <w:color w:val="auto"/>
              </w:rPr>
              <w:t>Net proceeds from divestitures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340" w:type="dxa"/>
            <w:vAlign w:val="bottom"/>
            <w:tcBorders>
              <w:bottom w:val="single" w:sz="8" w:color="CCEC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100" w:type="dxa"/>
            <w:vAlign w:val="bottom"/>
            <w:tcBorders>
              <w:bottom w:val="single" w:sz="8" w:color="CCECFF"/>
            </w:tcBorders>
          </w:tcPr>
          <w:p>
            <w:pPr>
              <w:spacing w:after="0"/>
              <w:rPr>
                <w:sz w:val="18"/>
                <w:szCs w:val="18"/>
                <w:color w:val="auto"/>
              </w:rPr>
            </w:pPr>
          </w:p>
        </w:tc>
      </w:tr>
      <w:tr>
        <w:trPr>
          <w:trHeight w:val="210"/>
        </w:trPr>
        <w:tc>
          <w:tcPr>
            <w:tcW w:w="8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generated by investing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10,539.5</w:t>
            </w: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shd w:val="clear" w:color="auto" w:fill="CCEC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Long-term debt repaid</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(7,370.8)</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(2,049.0)</w:t>
            </w:r>
          </w:p>
        </w:tc>
      </w:tr>
      <w:tr>
        <w:trPr>
          <w:trHeight w:val="216"/>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proceeds</w:t>
            </w: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convertible preferred stock</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(1,278.7)</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issuance of common shares under equity-based compensation plans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(8,671.5)</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Pr>
          <w:p>
            <w:pPr>
              <w:spacing w:after="0"/>
              <w:rPr>
                <w:sz w:val="18"/>
                <w:szCs w:val="18"/>
                <w:color w:val="auto"/>
              </w:rPr>
            </w:pPr>
          </w:p>
        </w:tc>
      </w:tr>
      <w:tr>
        <w:trPr>
          <w:trHeight w:val="216"/>
        </w:trPr>
        <w:tc>
          <w:tcPr>
            <w:tcW w:w="84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84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3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8"/>
                <w:szCs w:val="18"/>
                <w:color w:val="auto"/>
              </w:rPr>
            </w:pPr>
          </w:p>
        </w:tc>
      </w:tr>
      <w:tr>
        <w:trPr>
          <w:trHeight w:val="216"/>
        </w:trPr>
        <w:tc>
          <w:tcPr>
            <w:tcW w:w="84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Less: Restricted cash in prepaid expenses and other assets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340" w:type="dxa"/>
            <w:vAlign w:val="bottom"/>
            <w:tcBorders>
              <w:top w:val="single" w:sz="8" w:color="CCEC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top w:val="single" w:sz="8" w:color="CCECFF"/>
            </w:tcBorders>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-2262505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-736600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-454025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0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Condensed Consolidated Statements of Cash Flows include the results of continuing and discontinued operations.</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amounts)</w:t>
      </w:r>
    </w:p>
    <w:p>
      <w:pPr>
        <w:spacing w:after="0" w:line="200"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4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40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223,260,316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215,887,001</w:t>
            </w:r>
          </w:p>
        </w:tc>
        <w:tc>
          <w:tcPr>
            <w:tcW w:w="120" w:type="dxa"/>
            <w:vAlign w:val="bottom"/>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400" w:type="dxa"/>
            <w:vAlign w:val="bottom"/>
            <w:shd w:val="clear" w:color="auto" w:fill="CCECFF"/>
          </w:tcPr>
          <w:p>
            <w:pPr>
              <w:spacing w:after="0"/>
              <w:rPr>
                <w:sz w:val="18"/>
                <w:szCs w:val="18"/>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3,354,488</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994,178</w:t>
            </w:r>
          </w:p>
        </w:tc>
        <w:tc>
          <w:tcPr>
            <w:tcW w:w="12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surrendered under equity-based compensation plans</w:t>
            </w:r>
          </w:p>
        </w:tc>
        <w:tc>
          <w:tcPr>
            <w:tcW w:w="4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(1,101,430)</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(299,567)</w:t>
            </w:r>
          </w:p>
        </w:tc>
      </w:tr>
      <w:tr>
        <w:trPr>
          <w:trHeight w:val="249"/>
        </w:trPr>
        <w:tc>
          <w:tcPr>
            <w:tcW w:w="74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top w:val="single" w:sz="8" w:color="auto"/>
              <w:bottom w:val="single" w:sz="8" w:color="auto"/>
            </w:tcBorders>
            <w:shd w:val="clear" w:color="auto" w:fill="CCECFF"/>
          </w:tcPr>
          <w:p>
            <w:pPr>
              <w:spacing w:after="0"/>
              <w:rPr>
                <w:sz w:val="21"/>
                <w:szCs w:val="21"/>
                <w:color w:val="auto"/>
              </w:rPr>
            </w:pP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225,513,374</w:t>
            </w:r>
          </w:p>
        </w:tc>
        <w:tc>
          <w:tcPr>
            <w:tcW w:w="36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top w:val="single" w:sz="8" w:color="auto"/>
              <w:bottom w:val="single" w:sz="8" w:color="auto"/>
            </w:tcBorders>
            <w:shd w:val="clear" w:color="auto" w:fill="CCECFF"/>
          </w:tcPr>
          <w:p>
            <w:pPr>
              <w:spacing w:after="0"/>
              <w:rPr>
                <w:sz w:val="21"/>
                <w:szCs w:val="21"/>
                <w:color w:val="auto"/>
              </w:rPr>
            </w:pP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216,581,612</w:t>
            </w:r>
          </w:p>
        </w:tc>
        <w:tc>
          <w:tcPr>
            <w:tcW w:w="120" w:type="dxa"/>
            <w:vAlign w:val="bottom"/>
            <w:tcBorders>
              <w:bottom w:val="single" w:sz="8" w:color="CCECFF"/>
            </w:tcBorders>
            <w:shd w:val="clear" w:color="auto" w:fill="CCECFF"/>
          </w:tcPr>
          <w:p>
            <w:pPr>
              <w:spacing w:after="0"/>
              <w:rPr>
                <w:sz w:val="21"/>
                <w:szCs w:val="21"/>
                <w:color w:val="auto"/>
              </w:rPr>
            </w:pPr>
          </w:p>
        </w:tc>
      </w:tr>
      <w:tr>
        <w:trPr>
          <w:trHeight w:val="197"/>
        </w:trPr>
        <w:tc>
          <w:tcPr>
            <w:tcW w:w="7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74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top w:val="single" w:sz="8" w:color="auto"/>
              <w:bottom w:val="single" w:sz="8" w:color="auto"/>
            </w:tcBorders>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2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400" w:type="dxa"/>
            <w:vAlign w:val="bottom"/>
            <w:shd w:val="clear" w:color="auto" w:fill="CCECFF"/>
          </w:tcPr>
          <w:p>
            <w:pPr>
              <w:spacing w:after="0"/>
              <w:rPr>
                <w:sz w:val="18"/>
                <w:szCs w:val="18"/>
                <w:color w:val="auto"/>
              </w:rPr>
            </w:pP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CFF"/>
          </w:tcPr>
          <w:p>
            <w:pPr>
              <w:spacing w:after="0"/>
              <w:rPr>
                <w:sz w:val="18"/>
                <w:szCs w:val="18"/>
                <w:color w:val="auto"/>
              </w:rPr>
            </w:pP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3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2,504.8</w:t>
            </w:r>
          </w:p>
        </w:tc>
        <w:tc>
          <w:tcPr>
            <w:tcW w:w="120" w:type="dxa"/>
            <w:vAlign w:val="bottom"/>
          </w:tcPr>
          <w:p>
            <w:pPr>
              <w:spacing w:after="0"/>
              <w:rPr>
                <w:sz w:val="18"/>
                <w:szCs w:val="18"/>
                <w:color w:val="auto"/>
              </w:rPr>
            </w:pPr>
          </w:p>
        </w:tc>
      </w:tr>
      <w:tr>
        <w:trPr>
          <w:trHeight w:val="209"/>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40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(3,040.8)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(5,324.5)</w:t>
            </w: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Excise tax on preferred stock redemption</w:t>
            </w:r>
          </w:p>
        </w:tc>
        <w:tc>
          <w:tcPr>
            <w:tcW w:w="400" w:type="dxa"/>
            <w:vAlign w:val="bottom"/>
            <w:shd w:val="clear" w:color="auto" w:fill="CCECFF"/>
          </w:tcPr>
          <w:p>
            <w:pPr>
              <w:spacing w:after="0"/>
              <w:rPr>
                <w:sz w:val="18"/>
                <w:szCs w:val="18"/>
                <w:color w:val="auto"/>
              </w:rPr>
            </w:pP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Borders>
              <w:bottom w:val="single" w:sz="8" w:color="CCECFF"/>
            </w:tcBorders>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360" w:type="dxa"/>
            <w:vAlign w:val="bottom"/>
            <w:tcBorders>
              <w:bottom w:val="single" w:sz="8" w:color="CCEC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Borders>
              <w:bottom w:val="single" w:sz="8" w:color="CCECFF"/>
            </w:tcBorders>
          </w:tcPr>
          <w:p>
            <w:pPr>
              <w:spacing w:after="0"/>
              <w:rPr>
                <w:sz w:val="18"/>
                <w:szCs w:val="18"/>
                <w:color w:val="auto"/>
              </w:rPr>
            </w:pPr>
          </w:p>
        </w:tc>
      </w:tr>
      <w:tr>
        <w:trPr>
          <w:trHeight w:val="210"/>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(4,540.5)</w:t>
            </w:r>
          </w:p>
        </w:tc>
      </w:tr>
      <w:tr>
        <w:trPr>
          <w:trHeight w:val="209"/>
        </w:trPr>
        <w:tc>
          <w:tcPr>
            <w:tcW w:w="74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(118.7)</w:t>
            </w: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(344.5)</w:t>
            </w: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8"/>
                <w:szCs w:val="18"/>
                <w:color w:val="auto"/>
              </w:rPr>
            </w:pPr>
          </w:p>
        </w:tc>
      </w:tr>
      <w:tr>
        <w:trPr>
          <w:trHeight w:val="210"/>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(209.6)</w:t>
            </w:r>
          </w:p>
        </w:tc>
      </w:tr>
      <w:tr>
        <w:trPr>
          <w:trHeight w:val="210"/>
        </w:trPr>
        <w:tc>
          <w:tcPr>
            <w:tcW w:w="74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(334.9)</w:t>
            </w: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(303.6)</w:t>
            </w: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shares surrendered under equity-based compensation plans</w:t>
            </w:r>
          </w:p>
        </w:tc>
        <w:tc>
          <w:tcPr>
            <w:tcW w:w="4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(355.2)</w:t>
            </w: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(305.1)</w:t>
            </w:r>
          </w:p>
        </w:tc>
      </w:tr>
      <w:tr>
        <w:trPr>
          <w:trHeight w:val="20"/>
        </w:trPr>
        <w:tc>
          <w:tcPr>
            <w:tcW w:w="740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3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(2,548.2)</w:t>
            </w:r>
          </w:p>
        </w:tc>
      </w:tr>
      <w:tr>
        <w:trPr>
          <w:trHeight w:val="20"/>
        </w:trPr>
        <w:tc>
          <w:tcPr>
            <w:tcW w:w="7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-3291205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-3274060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-3291205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-3274060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-2708275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-2708275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-2163445</wp:posOffset>
            </wp:positionV>
            <wp:extent cx="939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-2163445</wp:posOffset>
            </wp:positionV>
            <wp:extent cx="10287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-1460500</wp:posOffset>
            </wp:positionV>
            <wp:extent cx="939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-1460500</wp:posOffset>
            </wp:positionV>
            <wp:extent cx="1028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-736600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3" w:lineRule="exact"/>
        <w:rPr>
          <w:sz w:val="20"/>
          <w:szCs w:val="20"/>
          <w:color w:val="auto"/>
        </w:rPr>
      </w:pPr>
    </w:p>
    <w:p>
      <w:pPr>
        <w:ind w:right="698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BASIS OF PRESENTATION Background</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The Company is a leader in digital video and IP television (IPTV) distribution systems, broadband access infrastructure platforms and equipment that delivers data and voice networks to homes. The Company’s global leadership position is built upon innovative technology, broad solution offerings, high-quality and cost-effective customer solutions, and global manufacturing and distribution scale.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2025 (the 2025 Annual Report). The significant accounting policies followed by the Company are set forth in Note 2 within the Company’s audited consolidated financial statements included in the 2025 Annual Report. There were no material changes in the Company’s significant accounting policies during the three months ended March 31,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 and Related Party Transactions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212121"/>
        </w:rPr>
        <w:t xml:space="preserve">Net sales to </w:t>
      </w:r>
      <w:r>
        <w:rPr>
          <w:rFonts w:ascii="Times New Roman" w:cs="Times New Roman" w:eastAsia="Times New Roman" w:hAnsi="Times New Roman"/>
          <w:sz w:val="18"/>
          <w:szCs w:val="18"/>
          <w:color w:val="000000"/>
        </w:rPr>
        <w:t>Comcast</w:t>
      </w:r>
      <w:r>
        <w:rPr>
          <w:rFonts w:ascii="Times New Roman" w:cs="Times New Roman" w:eastAsia="Times New Roman" w:hAnsi="Times New Roman"/>
          <w:sz w:val="18"/>
          <w:szCs w:val="18"/>
          <w:color w:val="212121"/>
        </w:rPr>
        <w:t xml:space="preserve"> Corporation and affiliates (Comcast) accounted for approximately 39% and 21% of the Company’s total net sales during the three months ended March 31, 2026 and 2025</w:t>
      </w:r>
      <w:r>
        <w:rPr>
          <w:rFonts w:ascii="Times New Roman" w:cs="Times New Roman" w:eastAsia="Times New Roman" w:hAnsi="Times New Roman"/>
          <w:sz w:val="18"/>
          <w:szCs w:val="18"/>
          <w:color w:val="000000"/>
        </w:rPr>
        <w:t>, respectively.</w:t>
      </w:r>
      <w:r>
        <w:rPr>
          <w:rFonts w:ascii="Times New Roman" w:cs="Times New Roman" w:eastAsia="Times New Roman" w:hAnsi="Times New Roman"/>
          <w:sz w:val="18"/>
          <w:szCs w:val="18"/>
          <w:color w:val="212121"/>
        </w:rPr>
        <w:t xml:space="preserve"> Net sales to </w:t>
      </w:r>
      <w:r>
        <w:rPr>
          <w:rFonts w:ascii="Times New Roman" w:cs="Times New Roman" w:eastAsia="Times New Roman" w:hAnsi="Times New Roman"/>
          <w:sz w:val="18"/>
          <w:szCs w:val="18"/>
          <w:color w:val="000000"/>
        </w:rPr>
        <w:t>TD Synnex Corporation (TD Synnex)</w:t>
      </w:r>
      <w:r>
        <w:rPr>
          <w:rFonts w:ascii="Times New Roman" w:cs="Times New Roman" w:eastAsia="Times New Roman" w:hAnsi="Times New Roman"/>
          <w:sz w:val="18"/>
          <w:szCs w:val="18"/>
          <w:color w:val="212121"/>
        </w:rPr>
        <w:t xml:space="preserve"> accounted for 12% of the Company’s total net sales during the three months ended March 31, 2025. </w:t>
      </w:r>
      <w:r>
        <w:rPr>
          <w:rFonts w:ascii="Times New Roman" w:cs="Times New Roman" w:eastAsia="Times New Roman" w:hAnsi="Times New Roman"/>
          <w:sz w:val="18"/>
          <w:szCs w:val="18"/>
          <w:color w:val="000000"/>
        </w:rPr>
        <w:t>Other than Comcast and TD Synnex, no direct customer accounted for 10% or more of the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Company’s net sales during the three months ended March 31, 2026 or 2025. Accounts receivable from Comcast and TD Synnex Corporation represented approximately 44% and 10%, respectively, of the Company’s accounts receivable as of March 31, 2026. Other than Comcast and TD Synnex, no direct customer accounted for 10% or more of the Company’s accounts receivable as of March 31, 2026. Comcast is a customer of the Aurora and RUCKUS segments, and TD Synnex is a customer of the RUCKUS segment.</w:t>
      </w:r>
    </w:p>
    <w:p>
      <w:pPr>
        <w:spacing w:after="0" w:line="18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than transactions related to the Series A Convertible Preferred Stock (Convertible Preferred Stock) through the redemption date and the Company’s continuing involvement with Vantiva SA (Vantiva) discussed in Note 2, there were no material related party transactions during the three months ended March 31,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product warranty accrual, included in accrued and other liabilities and other noncurrent liabilities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6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 beginning of period</w:t>
            </w:r>
          </w:p>
        </w:tc>
        <w:tc>
          <w:tcPr>
            <w:tcW w:w="1060" w:type="dxa"/>
            <w:vAlign w:val="bottom"/>
            <w:gridSpan w:val="2"/>
            <w:shd w:val="clear" w:color="auto" w:fill="CCEC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CFF"/>
          </w:tcPr>
          <w:p>
            <w:pPr>
              <w:spacing w:after="0"/>
              <w:rPr>
                <w:sz w:val="18"/>
                <w:szCs w:val="18"/>
                <w:color w:val="auto"/>
              </w:rPr>
            </w:pPr>
          </w:p>
        </w:tc>
        <w:tc>
          <w:tcPr>
            <w:tcW w:w="500" w:type="dxa"/>
            <w:vAlign w:val="bottom"/>
            <w:gridSpan w:val="2"/>
            <w:shd w:val="clear" w:color="auto" w:fill="CCEC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C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warranty claims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7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6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warranty accrual, end of period</w:t>
            </w: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result of the termination of the Company’s term loan, the Company collateralized its outstanding letters of credit with cash deposits held by the issuing banks. These deposits were restricted as to withdrawal and were not available for general corporate purposes until the related letters of credit were reduced, expired or otherwise terminated. As of March 31, 2026, restricted cash totaled $56.5 million, of which $11.4 million and $45.1 million were included in prepaid expenses and other current assets and other noncurrent assets, respectively, in the accompanying Condensed Consolidated Balance Sheets.</w:t>
      </w:r>
    </w:p>
    <w:p>
      <w:pPr>
        <w:spacing w:after="0" w:line="143" w:lineRule="exact"/>
        <w:rPr>
          <w:sz w:val="20"/>
          <w:szCs w:val="20"/>
          <w:color w:val="auto"/>
        </w:rPr>
      </w:pPr>
    </w:p>
    <w:p>
      <w:pPr>
        <w:ind w:right="160"/>
        <w:spacing w:after="0" w:line="245" w:lineRule="exact"/>
        <w:rPr>
          <w:sz w:val="20"/>
          <w:szCs w:val="20"/>
          <w:color w:val="auto"/>
        </w:rPr>
      </w:pPr>
      <w:r>
        <w:rPr>
          <w:rFonts w:ascii="Times New Roman" w:cs="Times New Roman" w:eastAsia="Times New Roman" w:hAnsi="Times New Roman"/>
          <w:sz w:val="18"/>
          <w:szCs w:val="18"/>
          <w:color w:val="auto"/>
        </w:rPr>
        <w:t>Subsequent to March 31, 2026, upon entering into the Company’s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revolving credit facility in April 2026, the Company satisfied the applicable collateral requirements for its outstanding letters of credit, and the related cash deposits were returned and the restrictions released.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There were no goodwill impairments identified during the three months ended March 31, 2026 or 2025.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last annual impairment test on October 1, 2025, the implied fair value of the Aurora reporting unit exceeded its carrying amount by approximately 9%. Considering the low headroom going forward for the Aurora reporting unit,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Aurora reporting unit are not realized or decrease materially, the Company may be required to recognize additional goodwill impairment charges, and these charges could be material to the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their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and as part of discontinued operations, there were no definite-lived intangible or other long-lived asset impairments identified during the three months ended March 31, 2026 or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an income tax benefit of $185.2 million on pretax income of $46.5 million. The Company’s income taxes were less than the statutory rate of 21.0% for the three months ended March 31, 2026, primarily due to $196.6 million of tax benefit recognized in the quarter associated with a tax planning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recognized an income tax benefit of $357.5 million on a pretax loss of $16.4 million.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taxes for the three months ended March 31, 2025, were favorably impacted by $361.1 million of tax benefit recognized in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a tax planning strategy, as well as the tax benefit related to federal tax credits. Offsetting these benefits were the unfavorable impacts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 million of an additional valuation allowance recorded in the quarter related to current year federal and state interest limitation carryforwards and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anti-deferral provisions.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EPS from discontinued operations is computed by dividing income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and equity-based compensation plans, subject to antidilution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2.6 million and 7.7 million, respectively, of outstanding equity-based compensation awards were not included in the computation of diluted EPS because the effect was antidilutive or the performance conditions were not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basis for the EPS computations (in millions,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1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Pr>
          <w:p>
            <w:pPr>
              <w:spacing w:after="0"/>
              <w:rPr>
                <w:sz w:val="18"/>
                <w:szCs w:val="18"/>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tcPr>
          <w:p>
            <w:pPr>
              <w:spacing w:after="0"/>
              <w:rPr>
                <w:sz w:val="18"/>
                <w:szCs w:val="18"/>
                <w:color w:val="auto"/>
              </w:rPr>
            </w:pPr>
          </w:p>
        </w:tc>
      </w:tr>
      <w:tr>
        <w:trPr>
          <w:trHeight w:val="216"/>
        </w:trPr>
        <w:tc>
          <w:tcPr>
            <w:tcW w:w="61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5,276.3</w:t>
            </w:r>
          </w:p>
        </w:tc>
        <w:tc>
          <w:tcPr>
            <w:tcW w:w="1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5,508.0</w:t>
            </w:r>
          </w:p>
        </w:tc>
        <w:tc>
          <w:tcPr>
            <w:tcW w:w="140" w:type="dxa"/>
            <w:vAlign w:val="bottom"/>
          </w:tcPr>
          <w:p>
            <w:pPr>
              <w:spacing w:after="0"/>
              <w:rPr>
                <w:sz w:val="18"/>
                <w:szCs w:val="18"/>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8"/>
                <w:szCs w:val="18"/>
                <w:color w:val="auto"/>
              </w:rPr>
            </w:pPr>
          </w:p>
        </w:tc>
      </w:tr>
      <w:tr>
        <w:trPr>
          <w:trHeight w:val="216"/>
        </w:trPr>
        <w:tc>
          <w:tcPr>
            <w:tcW w:w="61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4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6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40" w:type="dxa"/>
            <w:vAlign w:val="bottom"/>
            <w:shd w:val="clear" w:color="auto" w:fill="CCECFF"/>
          </w:tcPr>
          <w:p>
            <w:pPr>
              <w:spacing w:after="0"/>
              <w:rPr>
                <w:sz w:val="17"/>
                <w:szCs w:val="17"/>
                <w:color w:val="auto"/>
              </w:rPr>
            </w:pPr>
          </w:p>
        </w:tc>
        <w:tc>
          <w:tcPr>
            <w:tcW w:w="24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-591185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Dilutive effect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80" w:right="3360" w:firstLine="156"/>
        <w:spacing w:after="0" w:line="269" w:lineRule="auto"/>
        <w:rPr>
          <w:sz w:val="20"/>
          <w:szCs w:val="20"/>
          <w:color w:val="auto"/>
        </w:rPr>
      </w:pPr>
      <w:r>
        <w:rPr>
          <w:rFonts w:ascii="Times New Roman" w:cs="Times New Roman" w:eastAsia="Times New Roman" w:hAnsi="Times New Roman"/>
          <w:sz w:val="18"/>
          <w:szCs w:val="18"/>
          <w:color w:val="auto"/>
        </w:rPr>
        <w:t>Dilutive effect of as-if converted Series A convertible preferred stock Weighted average common shares outstanding – diluted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225.2</w:t>
      </w:r>
    </w:p>
    <w:p>
      <w:pPr>
        <w:spacing w:after="0" w:line="3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8.0</w:t>
      </w:r>
    </w:p>
    <w:p>
      <w:pPr>
        <w:spacing w:after="0" w:line="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237.9</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7"/>
          <w:szCs w:val="17"/>
          <w:color w:val="auto"/>
        </w:rPr>
        <w:t>216.3</w:t>
      </w:r>
    </w:p>
    <w:p>
      <w:pPr>
        <w:spacing w:after="0" w:line="3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11.0</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271.9</w:t>
      </w:r>
    </w:p>
    <w:p>
      <w:pPr>
        <w:spacing w:after="0" w:line="53" w:lineRule="exact"/>
        <w:rPr>
          <w:sz w:val="20"/>
          <w:szCs w:val="20"/>
          <w:color w:val="auto"/>
        </w:rPr>
      </w:pPr>
    </w:p>
    <w:p>
      <w:pPr>
        <w:sectPr>
          <w:pgSz w:w="11900" w:h="16838" w:orient="portrait"/>
          <w:cols w:equalWidth="0" w:num="3">
            <w:col w:w="8600" w:space="720"/>
            <w:col w:w="660" w:space="720"/>
            <w:col w:w="5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8580" w:type="dxa"/>
            <w:vAlign w:val="bottom"/>
            <w:shd w:val="clear" w:color="auto" w:fill="CCECFF"/>
          </w:tcPr>
          <w:p>
            <w:pPr>
              <w:spacing w:after="0"/>
              <w:rPr>
                <w:sz w:val="18"/>
                <w:szCs w:val="18"/>
                <w:color w:val="auto"/>
              </w:rPr>
            </w:pPr>
          </w:p>
        </w:tc>
        <w:tc>
          <w:tcPr>
            <w:tcW w:w="42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60" w:type="dxa"/>
            <w:vAlign w:val="bottom"/>
            <w:tcBorders>
              <w:top w:val="single" w:sz="8" w:color="auto"/>
            </w:tcBorders>
            <w:shd w:val="clear" w:color="auto" w:fill="CCECFF"/>
          </w:tcPr>
          <w:p>
            <w:pPr>
              <w:spacing w:after="0"/>
              <w:rPr>
                <w:sz w:val="18"/>
                <w:szCs w:val="18"/>
                <w:color w:val="auto"/>
              </w:rPr>
            </w:pPr>
          </w:p>
        </w:tc>
        <w:tc>
          <w:tcPr>
            <w:tcW w:w="70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from continuing operations per share</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CFF"/>
          </w:tcPr>
          <w:p>
            <w:pPr>
              <w:spacing w:after="0"/>
              <w:rPr>
                <w:sz w:val="18"/>
                <w:szCs w:val="18"/>
                <w:color w:val="auto"/>
              </w:rPr>
            </w:pPr>
          </w:p>
        </w:tc>
      </w:tr>
      <w:tr>
        <w:trPr>
          <w:trHeight w:val="216"/>
        </w:trPr>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r>
      <w:tr>
        <w:trPr>
          <w:trHeight w:val="250"/>
        </w:trPr>
        <w:tc>
          <w:tcPr>
            <w:tcW w:w="8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68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CFF"/>
          </w:tcPr>
          <w:p>
            <w:pPr>
              <w:spacing w:after="0"/>
              <w:rPr>
                <w:sz w:val="21"/>
                <w:szCs w:val="21"/>
                <w:color w:val="auto"/>
              </w:rPr>
            </w:pPr>
          </w:p>
        </w:tc>
      </w:tr>
      <w:tr>
        <w:trPr>
          <w:trHeight w:val="197"/>
        </w:trPr>
        <w:tc>
          <w:tcPr>
            <w:tcW w:w="8580" w:type="dxa"/>
            <w:vAlign w:val="bottom"/>
            <w:tcBorders>
              <w:top w:val="single" w:sz="8" w:color="CCEC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r>
      <w:tr>
        <w:trPr>
          <w:trHeight w:val="216"/>
        </w:trPr>
        <w:tc>
          <w:tcPr>
            <w:tcW w:w="8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from continuing operations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r>
      <w:tr>
        <w:trPr>
          <w:trHeight w:val="216"/>
        </w:trPr>
        <w:tc>
          <w:tcPr>
            <w:tcW w:w="858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from discontinued operations per share</w:t>
            </w:r>
          </w:p>
        </w:tc>
        <w:tc>
          <w:tcPr>
            <w:tcW w:w="42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-745490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During the Three Months Ended March 31, 2026</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No. 2025-05,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for Accounts Receivable and Contract Assets. </w:t>
      </w:r>
      <w:r>
        <w:rPr>
          <w:rFonts w:ascii="Times New Roman" w:cs="Times New Roman" w:eastAsia="Times New Roman" w:hAnsi="Times New Roman"/>
          <w:sz w:val="18"/>
          <w:szCs w:val="18"/>
          <w:color w:val="auto"/>
        </w:rPr>
        <w:t>The new guidance is expected to provide decision-useful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to investors and other financial statement users while reducing the time and effort necessary to analyze and estimate credit losses for current 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guidance is effective for the Company on a prospective basis, beginning January 1, 2026 for the interim and annual periods. The Company has elected to apply this practical expedient to determine expected credit losses for current accounts receivable and contract assets, assuming conditions as of the balance sheet date do not change for the remaining life of the asset. The adoption of ASU 2025-05 did not have a material impact on the Company’s condensed consolidated financial statements or disclosures.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but Not Adopted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new guidance addresses various technical corrections, clarifications, and minor improvements to the ASC. The ASU addresses 33 issues, primarily clarifying existing guidance, correcting errors, or making minor improvements to enhance the understandability and application of the ASC. The amendments are varied in nature and may impact the application of guidance in areas where the original guidance was unclear. The guidance is effective for the Company beginning January 1, 2027 for the interim and annual reporting periods. Early adoption is permitted. The Company is currently evaluating the impact of the new guidance on the condensed consolidated financial statements.</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new guidance aims to enhance the clarity and navigability of guidance related to interim disclosures. This guidance clarifies when the guidance in ASC Topic 270 is applicable and specifies the disclosures required during interim reporting periods. The amendments clarify that ASC Topic 270 applies to all entities that provide interim financial statements and notes in accordance with generally accepted accounting principles (GAAP). The ASU provides a comprehensive list of interim disclosures required by GAAP, which is intended to improve efficiency in using the ASC. This list clarifies existing requirements and does not aim to expand or reduce current interim disclosure obligations. The guidance is effective for the Company beginning January 1, 2028 for the interim and annual reporting periods. Early adoption is permitted. The Company is currently evaluating the impact of the new guidance on the condensed consolidated financial statements.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The new guidance establishes authoritative guidance for business entities on the recognition, measurement, and presentation of government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as a transfer of a monetary asset or tangible non-monetary asset, other than an exchange transaction, from a government to a business entity. The guidance is effective for the Company beginning January 1, 2029 for the interim and annual reporting periods. Early adoption is permitted. The Company is currently evaluating the impact of the new guidance on the condensed consolidated financial statements.</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Derivatives and Hedging </w:t>
      </w:r>
      <w:r>
        <w:rPr>
          <w:rFonts w:ascii="Times New Roman" w:cs="Times New Roman" w:eastAsia="Times New Roman" w:hAnsi="Times New Roman"/>
          <w:sz w:val="18"/>
          <w:szCs w:val="18"/>
          <w:i w:val="1"/>
          <w:iCs w:val="1"/>
          <w:color w:val="auto"/>
        </w:rPr>
        <w:t>(Topic 815): Hedge Accounting Improvements.</w:t>
      </w:r>
      <w:r>
        <w:rPr>
          <w:rFonts w:ascii="Times New Roman" w:cs="Times New Roman" w:eastAsia="Times New Roman" w:hAnsi="Times New Roman"/>
          <w:sz w:val="18"/>
          <w:szCs w:val="18"/>
          <w:color w:val="auto"/>
        </w:rPr>
        <w:t xml:space="preserve"> The new guidance clarifies certain aspects of hedge accounting guidance and addresses incremental hedge accounting issues arising from the global reference rate reform initiative. The ASU aims to align hedge accounting more closely with the economics of an entity’s risk management activities, enabling entities to achieve and maintain hedge accounting for highly effective economic hedges of forecasted transactions. The guidance is effective for the Company beginning January 1, 2027 for the interim and annual reporting periods. Early adoption is permitted. The Company is currently evaluating the impact of the new guidance on the condensed consolidated financial statements.</w:t>
      </w:r>
    </w:p>
    <w:p>
      <w:pPr>
        <w:spacing w:after="0" w:line="1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refines the scope of Topic 815 by providing clarification regarding the contracts subject to derivative accounting. The guidance also provides clarification under Topic 606 for share-based payments from a customer in a revenue contract. The guidance is effective for the Company on a prospective or modified retrospective basis, beginning January 1, 2027 for the interim and annual periods. Early adoption is permitted. The Company is currently evaluating the impact of the new guidance on the condensed consolidated financial statements.</w:t>
      </w:r>
    </w:p>
    <w:p>
      <w:pPr>
        <w:spacing w:after="0" w:line="182"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new guidance modernizes the accounting for software costs and provides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The new guidance improves disclosures for expenses of public entities and addresses requests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the Company’s results of operations and financial condition.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CCS Segment:</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January 9, 2026, the Company completed the previously announced sale of the CCS segment to Amphenol Corporation (Amphenol), a Delaware corporation, pursuant to the Purchase Agreement dated August 3, 2025, in exchange for net cash consideration of $10.5 billion. The proceeds are net of $81.3 million of transaction expenses and $204.4 million of cash included in the assets sold. The CCS segment provides wired infrastructure for data centers, enterprises and service providers on a global scale.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CCS segment met the “held for sale” criteria per ASC 360-10 in the fourth quarter of 2025, and the Company determined, qualitatively and quantitatively, that this transaction represented a strategic shift that would have a major effect on its operations and financial results. As such, the results of operations directly attributable to the CCS segment have been reclassified to discontinued operations per ASC 205-20 on the Condensed Consolidated Statements of Operations, retrospectively for all periods presented beginning in the fourth quarter of 2025. In addition, all assets and liabilities of the CCS segment were classified as assets and liabilities held for sale on the Condensed Consolidated Balance Sheets as of December 31, 2025. Upon the closing of the transaction, the Company recognized a gain of $5.4 billion on the disposal of the CCS segment, which is included in income (loss) from discontinued operations, net of income taxes, on the Condensed Consolidated Statements of Operations for the three months ended March 31, 2026.</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transaction, on the closing date, the Company repaid in full all outstanding indebtedness using a portion of the proceeds from the transaction and terminated all outstanding commitments under each of its then-existing (x) revolving credit agreement, dated as of April 4, 2019 (as amended, the Prior Revolving Credit Agreement), which provided for a senior secured asset-based revolving credit facility in an aggregate principal amount of up to $750.0 million (the Prior Revolving Credit Facility), and (y) term loan credit agreement, dated as of December 17, 2024 (as amended, the Prior Term Loan Credit Agreement), which provided for a senior secured term loan credit facility (the 2029 Term Loan) in an aggregate outstanding principal amount of $3,150 million. Also, the Company satisfied and discharged the indentures governing the (1) $1,000.0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(collectively, the Notes). On the closing date of the transaction, notices of full redemption were issued to holders of all of the outstanding Notes, calling all outstanding Notes for redemption on January 26, 2026 using a portion of the proceeds from the transaction, and all outstanding Notes were redeemed on January 26, 2026. The Company subsequently wrote-off $101.3 million of </w:t>
      </w:r>
      <w:r>
        <w:rPr>
          <w:rFonts w:ascii="Times New Roman" w:cs="Times New Roman" w:eastAsia="Times New Roman" w:hAnsi="Times New Roman"/>
          <w:sz w:val="18"/>
          <w:szCs w:val="18"/>
          <w:color w:val="212529"/>
        </w:rPr>
        <w:t>unamortized debt issuance costs and original issuance discount associated with the debt redemption</w:t>
      </w:r>
      <w:r>
        <w:rPr>
          <w:rFonts w:ascii="Times New Roman" w:cs="Times New Roman" w:eastAsia="Times New Roman" w:hAnsi="Times New Roman"/>
          <w:sz w:val="18"/>
          <w:szCs w:val="18"/>
          <w:color w:val="auto"/>
        </w:rPr>
        <w:t xml:space="preserve"> which were recorded in interest expense within income (loss) from discontinued operations, net of income taxes, on the Condensed Consolidated Statements of Operations for the three months ended March 31, 2026. The Company also recorded a loss of $11.3 million on the extinguishment of debt which was recorded in other expense within income (loss) from discontinued operations, net of income taxes, on the Condensed Consolidated Statements of Operations for the three months ended March 31, 2026.</w:t>
      </w:r>
    </w:p>
    <w:p>
      <w:pPr>
        <w:spacing w:after="0" w:line="195"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18"/>
          <w:szCs w:val="18"/>
          <w:color w:val="auto"/>
        </w:rPr>
        <w:t>In addition, on the closing date of the transaction, the Company redeemed 100% of the Convertible Preferred Stock for $1.3 billion of cash in accordance with the terms of the Certificate of Designations. Simultaneously with the consummation of the redemption, the Investment Agreement, dated as of November 8, 2018, by and among the Company and Carlyle Partners VII S1 Holdings, L.P. (Carlyle) pursuant to which such Convertible Preferred Stock was initially purchased, and all rights and obligations of the parties under the Investment Agreement, were terminated.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a Transition Service Agreement (Amphenol TSA) (as described below under “Transition Service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 Segment and DAS business unit:</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January 2025, the Company completed the sale of the OWN segment and the DAS business unit to Amphenol, pursuant to the Purchase Agreement dated July 18, 2024, in exchange for net cash consideration of $2.0 billion. The proceeds are net of $9.1 million of transaction expenses and $83.2 million of cash included in the assets sold.</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OWN segment and DAS business unit met the “held for sale” criteria per ASC 360-10 in the third quarter of 2024, and the Company determined, qualitatively and quantitatively, that this transaction represented a strategic shift that would have a major effect on the Company’s operations and financial results. As such, the results of operations directly attributable to the OWN segment and DAS business unit have been reclassified to discontinued operations per ASC 205-20 on the Condensed Consolidated Statements of Operations, retrospectively for all periods presented beginning in the third quarter of 2024. Upon the closing of the transaction on January 31, 2025, the Company recognized a gain of $498.2 million on the disposal of the OWN segment and DAS business unit, which is included in income (loss) from discontinued operations, net of income taxes, on the Condensed Consolidated Statements of Operations for the three months ended March 31, 2025.</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several contractual arrangements with Amphenol, including the Amphenol TSA (as described below under “Transition Service Agreements”), Manufacturing Supply Agreement (Amphenol MSA), Sales and Supply Agreement and a Master Professional Services Agreement.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Amphenol MSA, the Company continues to manufacture and supply certain products to the divested business. Under the terms of the Amphenol MSA, the Company was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acquired components directly from Amphenol and was also responsible for procuring certain components from suppliers for the manufacturing of finished goods at the direction of Amphenol. As the Company does not obtain control of these components before they were transferred to Amphenol, the Company accounts for revenue associated with such components on a net basis. For the three months ended March 31, 2026 and 2025, the Company recognized net revenues of $(0.2) million and $1.6 million under the Amphenol MSA presented within income (loss) from discontinued operations, net of income taxes, on the Condensed Consolidated Statements of Operations.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Condensed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Networks business: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completed the sale of the Home business to Vantiva SA (Vantiva) in January 2024. 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Following the closing of the transaction, the Company entered into a Transition Service Agreement (Vantiva TSA), whereby the Company provided and received certain post-closing support on a transitional basis (as described below under “Transition Service Agreements”), and a Supply Agreement with Vantiva (Vantiva Supply Agreement), whereby the Company sold certain retained inventory at cost, or market price if below cost, for a period of two years.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income (loss) from discontinued operations, net of income taxes,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CCS</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OWN</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DAS</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460" w:type="dxa"/>
            <w:vAlign w:val="bottom"/>
            <w:gridSpan w:val="2"/>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724.1</w:t>
            </w: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CFF"/>
            </w:tcBorders>
            <w:gridSpan w:val="2"/>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86.9</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CFF"/>
          </w:tcPr>
          <w:p>
            <w:pPr>
              <w:ind w:left="4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right w:val="single" w:sz="8" w:color="CCECFF"/>
            </w:tcBorders>
            <w:shd w:val="clear" w:color="auto" w:fill="CCECFF"/>
          </w:tcPr>
          <w:p>
            <w:pPr>
              <w:spacing w:after="0"/>
              <w:rPr>
                <w:sz w:val="12"/>
                <w:szCs w:val="12"/>
                <w:color w:val="auto"/>
              </w:rPr>
            </w:pPr>
          </w:p>
        </w:tc>
        <w:tc>
          <w:tcPr>
            <w:tcW w:w="580" w:type="dxa"/>
            <w:vAlign w:val="bottom"/>
            <w:shd w:val="clear" w:color="auto" w:fill="CCEC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CFF"/>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453.1</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Gross profit (loss)</w:t>
            </w: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271.0</w:t>
            </w: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tcBorders>
              <w:right w:val="single" w:sz="8" w:color="CCECFF"/>
            </w:tcBorders>
            <w:gridSpan w:val="2"/>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ind w:left="4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right w:val="single" w:sz="8" w:color="CCECFF"/>
            </w:tcBorders>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tcBorders>
              <w:right w:val="single" w:sz="8" w:color="CCECFF"/>
            </w:tcBorders>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Selling, general and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administrative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tcBorders>
              <w:right w:val="single" w:sz="8" w:color="CCECFF"/>
            </w:tcBorders>
            <w:gridSpan w:val="2"/>
            <w:shd w:val="clear" w:color="auto" w:fill="CCEC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ind w:left="4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right w:val="single" w:sz="8" w:color="CCECFF"/>
            </w:tcBorders>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Amortization of purchased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rPr>
              <w:t>Restructuring costs, net</w:t>
            </w:r>
          </w:p>
        </w:tc>
        <w:tc>
          <w:tcPr>
            <w:tcW w:w="30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ind w:left="4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CFF"/>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4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35" w:lineRule="exact"/>
              <w:rPr>
                <w:sz w:val="20"/>
                <w:szCs w:val="20"/>
                <w:color w:val="auto"/>
              </w:rPr>
            </w:pPr>
            <w:r>
              <w:rPr>
                <w:rFonts w:ascii="Times New Roman" w:cs="Times New Roman" w:eastAsia="Times New Roman" w:hAnsi="Times New Roman"/>
                <w:sz w:val="14"/>
                <w:szCs w:val="14"/>
                <w:color w:val="auto"/>
              </w:rPr>
              <w:t>Operating income (loss)</w:t>
            </w: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18.7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150.3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(0.2)</w:t>
            </w:r>
          </w:p>
        </w:tc>
        <w:tc>
          <w:tcPr>
            <w:tcW w:w="1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ind w:left="4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(5.0)</w:t>
            </w:r>
          </w:p>
        </w:tc>
        <w:tc>
          <w:tcPr>
            <w:tcW w:w="580" w:type="dxa"/>
            <w:vAlign w:val="bottom"/>
          </w:tcPr>
          <w:p>
            <w:pPr>
              <w:spacing w:after="0"/>
              <w:rPr>
                <w:sz w:val="10"/>
                <w:szCs w:val="10"/>
                <w:color w:val="auto"/>
              </w:rPr>
            </w:pPr>
          </w:p>
        </w:tc>
        <w:tc>
          <w:tcPr>
            <w:tcW w:w="20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(129.1)</w:t>
            </w: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(173.7)</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(129.1)</w:t>
            </w:r>
          </w:p>
        </w:tc>
        <w:tc>
          <w:tcPr>
            <w:tcW w:w="1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3"/>
                <w:szCs w:val="13"/>
                <w:color w:val="auto"/>
              </w:rPr>
              <w:t xml:space="preserve">Other expense, net </w:t>
            </w:r>
            <w:r>
              <w:rPr>
                <w:rFonts w:ascii="Times New Roman" w:cs="Times New Roman" w:eastAsia="Times New Roman" w:hAnsi="Times New Roman"/>
                <w:sz w:val="17"/>
                <w:szCs w:val="17"/>
                <w:color w:val="auto"/>
                <w:vertAlign w:val="superscript"/>
              </w:rPr>
              <w:t>(2)</w:t>
            </w: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60" w:type="dxa"/>
            <w:vAlign w:val="bottom"/>
            <w:shd w:val="clear" w:color="auto" w:fill="CCECFF"/>
          </w:tcPr>
          <w:p>
            <w:pPr>
              <w:spacing w:after="0"/>
              <w:rPr>
                <w:sz w:val="12"/>
                <w:szCs w:val="12"/>
                <w:color w:val="auto"/>
              </w:rPr>
            </w:pPr>
          </w:p>
        </w:tc>
        <w:tc>
          <w:tcPr>
            <w:tcW w:w="720" w:type="dxa"/>
            <w:vAlign w:val="bottom"/>
            <w:tcBorders>
              <w:right w:val="single" w:sz="8" w:color="CCECFF"/>
            </w:tcBorders>
            <w:gridSpan w:val="2"/>
            <w:shd w:val="clear" w:color="auto" w:fill="CCEC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CFF"/>
          </w:tcPr>
          <w:p>
            <w:pPr>
              <w:spacing w:after="0"/>
              <w:rPr>
                <w:sz w:val="12"/>
                <w:szCs w:val="12"/>
                <w:color w:val="auto"/>
              </w:rPr>
            </w:pPr>
          </w:p>
        </w:tc>
        <w:tc>
          <w:tcPr>
            <w:tcW w:w="760" w:type="dxa"/>
            <w:vAlign w:val="bottom"/>
            <w:tcBorders>
              <w:right w:val="single" w:sz="8" w:color="CCECFF"/>
            </w:tcBorders>
            <w:gridSpan w:val="2"/>
            <w:shd w:val="clear" w:color="auto" w:fill="CCEC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ind w:left="4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tcBorders>
              <w:right w:val="single" w:sz="8" w:color="CCECFF"/>
            </w:tcBorders>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740" w:type="dxa"/>
            <w:vAlign w:val="bottom"/>
            <w:tcBorders>
              <w:right w:val="single" w:sz="8" w:color="CCECFF"/>
            </w:tcBorders>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19"/>
        </w:trPr>
        <w:tc>
          <w:tcPr>
            <w:tcW w:w="2200" w:type="dxa"/>
            <w:vAlign w:val="bottom"/>
            <w:tcBorders>
              <w:top w:val="single" w:sz="8" w:color="CCECFF"/>
            </w:tcBorders>
          </w:tcPr>
          <w:p>
            <w:pPr>
              <w:spacing w:after="0" w:line="119" w:lineRule="exact"/>
              <w:rPr>
                <w:sz w:val="20"/>
                <w:szCs w:val="20"/>
                <w:color w:val="auto"/>
              </w:rPr>
            </w:pPr>
            <w:r>
              <w:rPr>
                <w:rFonts w:ascii="Times New Roman" w:cs="Times New Roman" w:eastAsia="Times New Roman" w:hAnsi="Times New Roman"/>
                <w:sz w:val="13"/>
                <w:szCs w:val="13"/>
                <w:color w:val="auto"/>
              </w:rPr>
              <w:t>Income (loss) from operations of</w:t>
            </w:r>
          </w:p>
        </w:tc>
        <w:tc>
          <w:tcPr>
            <w:tcW w:w="30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discontinued businesses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(121.8)</w:t>
            </w:r>
          </w:p>
        </w:tc>
        <w:tc>
          <w:tcPr>
            <w:tcW w:w="16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58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(122.0)</w:t>
            </w:r>
          </w:p>
        </w:tc>
        <w:tc>
          <w:tcPr>
            <w:tcW w:w="1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71"/>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before income taxes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shd w:val="clear" w:color="auto" w:fill="CCECFF"/>
          </w:tcPr>
          <w:p>
            <w:pPr>
              <w:spacing w:after="0" w:line="126" w:lineRule="exact"/>
              <w:rPr>
                <w:sz w:val="20"/>
                <w:szCs w:val="20"/>
                <w:color w:val="auto"/>
              </w:rPr>
            </w:pPr>
            <w:r>
              <w:rPr>
                <w:rFonts w:ascii="Times New Roman" w:cs="Times New Roman" w:eastAsia="Times New Roman" w:hAnsi="Times New Roman"/>
                <w:sz w:val="14"/>
                <w:szCs w:val="14"/>
                <w:color w:val="auto"/>
              </w:rPr>
              <w:t>Gain (loss) on disposal of</w:t>
            </w:r>
          </w:p>
        </w:tc>
        <w:tc>
          <w:tcPr>
            <w:tcW w:w="3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tcBorders>
              <w:right w:val="single" w:sz="8" w:color="CCECFF"/>
            </w:tcBorders>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tcBorders>
              <w:right w:val="single" w:sz="8" w:color="CCECFF"/>
            </w:tcBorders>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tcBorders>
              <w:right w:val="single" w:sz="8" w:color="CCECFF"/>
            </w:tcBorders>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00" w:type="dxa"/>
            <w:vAlign w:val="bottom"/>
            <w:tcBorders>
              <w:right w:val="single" w:sz="8" w:color="CCECFF"/>
            </w:tcBorders>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7,007.9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tcBorders>
              <w:right w:val="single" w:sz="8" w:color="CCECFF"/>
            </w:tcBorders>
            <w:gridSpan w:val="2"/>
            <w:vMerge w:val="restart"/>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760" w:type="dxa"/>
            <w:vAlign w:val="bottom"/>
            <w:tcBorders>
              <w:right w:val="single" w:sz="8" w:color="CCECFF"/>
            </w:tcBorders>
            <w:gridSpan w:val="2"/>
            <w:vMerge w:val="restart"/>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869.7</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tcBorders>
              <w:right w:val="single" w:sz="8" w:color="CCECFF"/>
            </w:tcBorders>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CFF"/>
          </w:tcPr>
          <w:p>
            <w:pPr>
              <w:spacing w:after="0"/>
              <w:rPr>
                <w:sz w:val="12"/>
                <w:szCs w:val="12"/>
                <w:color w:val="auto"/>
              </w:rPr>
            </w:pPr>
          </w:p>
        </w:tc>
        <w:tc>
          <w:tcPr>
            <w:tcW w:w="20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7,007.9</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before income taxes</w:t>
            </w: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20" w:type="dxa"/>
            <w:vAlign w:val="bottom"/>
            <w:tcBorders>
              <w:right w:val="single" w:sz="8" w:color="CCECFF"/>
            </w:tcBorders>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tcBorders>
              <w:right w:val="single" w:sz="8" w:color="CCECFF"/>
            </w:tcBorders>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tcBorders>
              <w:right w:val="single" w:sz="8" w:color="CCECFF"/>
            </w:tcBorders>
            <w:gridSpan w:val="2"/>
            <w:vMerge w:val="continue"/>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0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80" w:type="dxa"/>
            <w:vAlign w:val="bottom"/>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40" w:type="dxa"/>
            <w:vAlign w:val="bottom"/>
            <w:vMerge w:val="continue"/>
            <w:shd w:val="clear" w:color="auto" w:fill="CCECFF"/>
          </w:tcPr>
          <w:p>
            <w:pPr>
              <w:spacing w:after="0"/>
              <w:rPr>
                <w:sz w:val="14"/>
                <w:szCs w:val="14"/>
                <w:color w:val="auto"/>
              </w:rPr>
            </w:pPr>
          </w:p>
        </w:tc>
        <w:tc>
          <w:tcPr>
            <w:tcW w:w="100" w:type="dxa"/>
            <w:vAlign w:val="bottom"/>
            <w:tcBorders>
              <w:right w:val="single" w:sz="8" w:color="CCECFF"/>
            </w:tcBorders>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(391.0)</w:t>
            </w:r>
          </w:p>
        </w:tc>
        <w:tc>
          <w:tcPr>
            <w:tcW w:w="160" w:type="dxa"/>
            <w:vAlign w:val="bottom"/>
          </w:tcPr>
          <w:p>
            <w:pPr>
              <w:spacing w:after="0"/>
              <w:rPr>
                <w:sz w:val="12"/>
                <w:szCs w:val="12"/>
                <w:color w:val="auto"/>
              </w:rPr>
            </w:pPr>
          </w:p>
        </w:tc>
        <w:tc>
          <w:tcPr>
            <w:tcW w:w="62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19"/>
        </w:trPr>
        <w:tc>
          <w:tcPr>
            <w:tcW w:w="220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color w:val="auto"/>
              </w:rPr>
              <w:t>Income (loss) from</w:t>
            </w:r>
          </w:p>
        </w:tc>
        <w:tc>
          <w:tcPr>
            <w:tcW w:w="300" w:type="dxa"/>
            <w:vAlign w:val="bottom"/>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spacing w:after="0"/>
              <w:rPr>
                <w:sz w:val="10"/>
                <w:szCs w:val="10"/>
                <w:color w:val="auto"/>
              </w:rPr>
            </w:pPr>
          </w:p>
        </w:tc>
        <w:tc>
          <w:tcPr>
            <w:tcW w:w="120" w:type="dxa"/>
            <w:vAlign w:val="bottom"/>
            <w:tcBorders>
              <w:right w:val="single" w:sz="8" w:color="CCECFF"/>
            </w:tcBorders>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spacing w:after="0"/>
              <w:rPr>
                <w:sz w:val="10"/>
                <w:szCs w:val="10"/>
                <w:color w:val="auto"/>
              </w:rPr>
            </w:pPr>
          </w:p>
        </w:tc>
        <w:tc>
          <w:tcPr>
            <w:tcW w:w="120" w:type="dxa"/>
            <w:vAlign w:val="bottom"/>
            <w:tcBorders>
              <w:right w:val="single" w:sz="8" w:color="CCECFF"/>
            </w:tcBorders>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58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2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40" w:type="dxa"/>
            <w:vAlign w:val="bottom"/>
            <w:tcBorders>
              <w:top w:val="single" w:sz="8" w:color="auto"/>
            </w:tcBorders>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spacing w:after="0"/>
              <w:rPr>
                <w:sz w:val="10"/>
                <w:szCs w:val="10"/>
                <w:color w:val="auto"/>
              </w:rPr>
            </w:pPr>
          </w:p>
        </w:tc>
        <w:tc>
          <w:tcPr>
            <w:tcW w:w="100" w:type="dxa"/>
            <w:vAlign w:val="bottom"/>
            <w:tcBorders>
              <w:right w:val="single" w:sz="8" w:color="CCECFF"/>
            </w:tcBorders>
            <w:shd w:val="clear" w:color="auto" w:fill="CCECFF"/>
          </w:tcPr>
          <w:p>
            <w:pPr>
              <w:spacing w:after="0"/>
              <w:rPr>
                <w:sz w:val="10"/>
                <w:szCs w:val="10"/>
                <w:color w:val="auto"/>
              </w:rPr>
            </w:pPr>
          </w:p>
        </w:tc>
        <w:tc>
          <w:tcPr>
            <w:tcW w:w="580" w:type="dxa"/>
            <w:vAlign w:val="bottom"/>
            <w:tcBorders>
              <w:top w:val="single" w:sz="8" w:color="auto"/>
            </w:tcBorders>
            <w:shd w:val="clear" w:color="auto" w:fill="CCECFF"/>
          </w:tcPr>
          <w:p>
            <w:pPr>
              <w:spacing w:after="0"/>
              <w:rPr>
                <w:sz w:val="10"/>
                <w:szCs w:val="10"/>
                <w:color w:val="auto"/>
              </w:rPr>
            </w:pPr>
          </w:p>
        </w:tc>
        <w:tc>
          <w:tcPr>
            <w:tcW w:w="20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56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spacing w:after="0"/>
              <w:rPr>
                <w:sz w:val="10"/>
                <w:szCs w:val="10"/>
                <w:color w:val="auto"/>
              </w:rPr>
            </w:pPr>
          </w:p>
        </w:tc>
        <w:tc>
          <w:tcPr>
            <w:tcW w:w="100" w:type="dxa"/>
            <w:vAlign w:val="bottom"/>
            <w:tcBorders>
              <w:right w:val="single" w:sz="8" w:color="CCECFF"/>
            </w:tcBorders>
            <w:shd w:val="clear" w:color="auto" w:fill="CCECFF"/>
          </w:tcPr>
          <w:p>
            <w:pPr>
              <w:spacing w:after="0"/>
              <w:rPr>
                <w:sz w:val="10"/>
                <w:szCs w:val="10"/>
                <w:color w:val="auto"/>
              </w:rPr>
            </w:pPr>
          </w:p>
        </w:tc>
        <w:tc>
          <w:tcPr>
            <w:tcW w:w="160" w:type="dxa"/>
            <w:vAlign w:val="bottom"/>
            <w:tcBorders>
              <w:top w:val="single" w:sz="8" w:color="auto"/>
            </w:tcBorders>
            <w:shd w:val="clear" w:color="auto" w:fill="CCECFF"/>
          </w:tcPr>
          <w:p>
            <w:pPr>
              <w:spacing w:after="0"/>
              <w:rPr>
                <w:sz w:val="10"/>
                <w:szCs w:val="10"/>
                <w:color w:val="auto"/>
              </w:rPr>
            </w:pPr>
          </w:p>
        </w:tc>
        <w:tc>
          <w:tcPr>
            <w:tcW w:w="62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C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5,276.</w:t>
            </w:r>
            <w:r>
              <w:rPr>
                <w:rFonts w:ascii="Times New Roman" w:cs="Times New Roman" w:eastAsia="Times New Roman" w:hAnsi="Times New Roman"/>
                <w:sz w:val="14"/>
                <w:szCs w:val="14"/>
                <w:u w:val="single" w:color="auto"/>
                <w:color w:val="auto"/>
              </w:rPr>
              <w:t>5</w:t>
            </w:r>
          </w:p>
        </w:tc>
        <w:tc>
          <w:tcPr>
            <w:tcW w:w="120" w:type="dxa"/>
            <w:vAlign w:val="bottom"/>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CFF"/>
            </w:tcBorders>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right w:val="single" w:sz="8" w:color="CCECFF"/>
            </w:tcBorders>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100" w:type="dxa"/>
            <w:vAlign w:val="bottom"/>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CFF"/>
          </w:tcPr>
          <w:p>
            <w:pPr>
              <w:ind w:left="4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CFF"/>
            </w:tcBorders>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580" w:type="dxa"/>
            <w:vAlign w:val="bottom"/>
            <w:vMerge w:val="restart"/>
            <w:shd w:val="clear" w:color="auto" w:fill="CCEC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5,276.3</w:t>
            </w:r>
          </w:p>
        </w:tc>
        <w:tc>
          <w:tcPr>
            <w:tcW w:w="100" w:type="dxa"/>
            <w:vAlign w:val="bottom"/>
            <w:tcBorders>
              <w:right w:val="single" w:sz="8" w:color="CCECFF"/>
            </w:tcBorders>
            <w:shd w:val="clear" w:color="auto" w:fill="CCECFF"/>
          </w:tcPr>
          <w:p>
            <w:pPr>
              <w:spacing w:after="0"/>
              <w:rPr>
                <w:sz w:val="12"/>
                <w:szCs w:val="12"/>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00" w:type="dxa"/>
            <w:vAlign w:val="bottom"/>
            <w:shd w:val="clear" w:color="auto" w:fill="CCECFF"/>
          </w:tcPr>
          <w:p>
            <w:pPr>
              <w:ind w:left="120"/>
              <w:spacing w:after="0" w:line="125" w:lineRule="exact"/>
              <w:rPr>
                <w:sz w:val="20"/>
                <w:szCs w:val="20"/>
                <w:color w:val="auto"/>
              </w:rPr>
            </w:pPr>
            <w:r>
              <w:rPr>
                <w:rFonts w:ascii="Times New Roman" w:cs="Times New Roman" w:eastAsia="Times New Roman" w:hAnsi="Times New Roman"/>
                <w:sz w:val="14"/>
                <w:szCs w:val="14"/>
                <w:color w:val="auto"/>
              </w:rPr>
              <w:t>net of income taxes</w:t>
            </w:r>
          </w:p>
        </w:tc>
        <w:tc>
          <w:tcPr>
            <w:tcW w:w="30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600" w:type="dxa"/>
            <w:vAlign w:val="bottom"/>
            <w:vMerge w:val="continue"/>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720" w:type="dxa"/>
            <w:vAlign w:val="bottom"/>
            <w:tcBorders>
              <w:right w:val="single" w:sz="8" w:color="CCECFF"/>
            </w:tcBorders>
            <w:gridSpan w:val="2"/>
            <w:vMerge w:val="continue"/>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760" w:type="dxa"/>
            <w:vAlign w:val="bottom"/>
            <w:tcBorders>
              <w:right w:val="single" w:sz="8" w:color="CCECFF"/>
            </w:tcBorders>
            <w:gridSpan w:val="2"/>
            <w:vMerge w:val="continue"/>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58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62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vMerge w:val="continue"/>
            <w:shd w:val="clear" w:color="auto" w:fill="CCECFF"/>
          </w:tcPr>
          <w:p>
            <w:pPr>
              <w:spacing w:after="0"/>
              <w:rPr>
                <w:sz w:val="13"/>
                <w:szCs w:val="13"/>
                <w:color w:val="auto"/>
              </w:rPr>
            </w:pPr>
          </w:p>
        </w:tc>
        <w:tc>
          <w:tcPr>
            <w:tcW w:w="700" w:type="dxa"/>
            <w:vAlign w:val="bottom"/>
            <w:tcBorders>
              <w:right w:val="single" w:sz="8" w:color="CCECFF"/>
            </w:tcBorders>
            <w:gridSpan w:val="2"/>
            <w:vMerge w:val="continue"/>
            <w:shd w:val="clear" w:color="auto" w:fill="CCECFF"/>
          </w:tcPr>
          <w:p>
            <w:pPr>
              <w:spacing w:after="0"/>
              <w:rPr>
                <w:sz w:val="13"/>
                <w:szCs w:val="13"/>
                <w:color w:val="auto"/>
              </w:rPr>
            </w:pPr>
          </w:p>
        </w:tc>
        <w:tc>
          <w:tcPr>
            <w:tcW w:w="580" w:type="dxa"/>
            <w:vAlign w:val="bottom"/>
            <w:vMerge w:val="continue"/>
            <w:shd w:val="clear" w:color="auto" w:fill="CCECFF"/>
          </w:tcPr>
          <w:p>
            <w:pPr>
              <w:spacing w:after="0"/>
              <w:rPr>
                <w:sz w:val="13"/>
                <w:szCs w:val="13"/>
                <w:color w:val="auto"/>
              </w:rPr>
            </w:pPr>
          </w:p>
        </w:tc>
        <w:tc>
          <w:tcPr>
            <w:tcW w:w="20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560" w:type="dxa"/>
            <w:vAlign w:val="bottom"/>
            <w:vMerge w:val="continue"/>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640" w:type="dxa"/>
            <w:vAlign w:val="bottom"/>
            <w:vMerge w:val="continue"/>
            <w:shd w:val="clear" w:color="auto" w:fill="CCECFF"/>
          </w:tcPr>
          <w:p>
            <w:pPr>
              <w:spacing w:after="0"/>
              <w:rPr>
                <w:sz w:val="13"/>
                <w:szCs w:val="13"/>
                <w:color w:val="auto"/>
              </w:rPr>
            </w:pPr>
          </w:p>
        </w:tc>
        <w:tc>
          <w:tcPr>
            <w:tcW w:w="100" w:type="dxa"/>
            <w:vAlign w:val="bottom"/>
            <w:tcBorders>
              <w:right w:val="single" w:sz="8" w:color="CCECFF"/>
            </w:tcBorders>
            <w:shd w:val="clear" w:color="auto" w:fill="CCECFF"/>
          </w:tcPr>
          <w:p>
            <w:pPr>
              <w:spacing w:after="0"/>
              <w:rPr>
                <w:sz w:val="13"/>
                <w:szCs w:val="13"/>
                <w:color w:val="auto"/>
              </w:rPr>
            </w:pPr>
          </w:p>
        </w:tc>
        <w:tc>
          <w:tcPr>
            <w:tcW w:w="160" w:type="dxa"/>
            <w:vAlign w:val="bottom"/>
            <w:vMerge w:val="continue"/>
            <w:shd w:val="clear" w:color="auto" w:fill="CCECFF"/>
          </w:tcPr>
          <w:p>
            <w:pPr>
              <w:spacing w:after="0"/>
              <w:rPr>
                <w:sz w:val="13"/>
                <w:szCs w:val="13"/>
                <w:color w:val="auto"/>
              </w:rPr>
            </w:pPr>
          </w:p>
        </w:tc>
        <w:tc>
          <w:tcPr>
            <w:tcW w:w="620" w:type="dxa"/>
            <w:vAlign w:val="bottom"/>
            <w:vMerge w:val="continue"/>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-1366520</wp:posOffset>
            </wp:positionV>
            <wp:extent cx="7145020" cy="218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020" cy="21844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-959485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-959485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-959485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-959485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-959485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-959485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-959485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-959485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-8255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-8255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5" w:lineRule="exact"/>
        <w:rPr>
          <w:sz w:val="20"/>
          <w:szCs w:val="20"/>
          <w:color w:val="auto"/>
        </w:rPr>
      </w:pPr>
    </w:p>
    <w:p>
      <w:pPr>
        <w:ind w:left="520" w:hanging="512"/>
        <w:spacing w:after="0" w:line="210" w:lineRule="exact"/>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of the CCS segment that was completed on January 9, 2026, the terms of the Purchase Agreement with Amphenol required that the CCS segment be transferred on a debt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basis, and therefore, the Company repaid its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borrowings at closing using a portion of the proceeds from the sale of the CCS segment. Accordingly, all third-party debt obligations remained classified as long-term debt on the Condensed Consolidated Balance Sheets as of December 31, 2025.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debt due to the contractual requirement to deliver the business debt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free, all interest expense, including the write-off of $101.3 million of </w:t>
      </w:r>
      <w:r>
        <w:rPr>
          <w:rFonts w:ascii="Times New Roman" w:cs="Times New Roman" w:eastAsia="Times New Roman" w:hAnsi="Times New Roman"/>
          <w:sz w:val="17"/>
          <w:szCs w:val="17"/>
          <w:color w:val="212529"/>
        </w:rPr>
        <w:t>unamortized debt issuance costs and original issuance discount associated with the debt redemption,</w:t>
      </w:r>
      <w:r>
        <w:rPr>
          <w:rFonts w:ascii="Times New Roman" w:cs="Times New Roman" w:eastAsia="Times New Roman" w:hAnsi="Times New Roman"/>
          <w:sz w:val="17"/>
          <w:szCs w:val="17"/>
          <w:color w:val="auto"/>
        </w:rPr>
        <w:t xml:space="preserve"> has been presented within discontinued operations for all years presented.</w:t>
      </w:r>
    </w:p>
    <w:p>
      <w:pPr>
        <w:spacing w:after="0" w:line="43" w:lineRule="exact"/>
        <w:rPr>
          <w:rFonts w:ascii="Times New Roman" w:cs="Times New Roman" w:eastAsia="Times New Roman" w:hAnsi="Times New Roman"/>
          <w:sz w:val="17"/>
          <w:szCs w:val="17"/>
          <w:color w:val="auto"/>
        </w:rPr>
      </w:pPr>
    </w:p>
    <w:p>
      <w:pPr>
        <w:ind w:left="520" w:right="340" w:hanging="512"/>
        <w:spacing w:after="0" w:line="312" w:lineRule="auto"/>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 net includes a loss of $11.3 million on the extinguishment of debt, for the three months ended March 31, 2026, associated with the divestiture of the CCS segment.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balance sheet information for assets and liabilities held for sale related to the discontinued operations:</w:t>
      </w:r>
    </w:p>
    <w:p>
      <w:pPr>
        <w:spacing w:after="0" w:line="111"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ectPr>
          <w:pgSz w:w="11900" w:h="16838" w:orient="portrait"/>
          <w:cols w:equalWidth="0" w:num="1">
            <w:col w:w="11240"/>
          </w:cols>
          <w:pgMar w:left="320" w:top="765" w:right="339" w:bottom="1440" w:gutter="0" w:footer="0" w:header="0"/>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assets held for sale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liabilities held for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060" w:type="dxa"/>
            <w:vAlign w:val="bottom"/>
            <w:tcBorders>
              <w:top w:val="single" w:sz="8" w:color="auto"/>
            </w:tcBorders>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168.4</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4"/>
        </w:trPr>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09"/>
        </w:trPr>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4,324.5</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94"/>
        </w:trPr>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16"/>
        </w:trPr>
        <w:tc>
          <w:tcPr>
            <w:tcW w:w="10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34"/>
        </w:trPr>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0"/>
        </w:trPr>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40" w:space="720"/>
            <w:col w:w="268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gain on disposal of the CCS segment and the OWN segment and DAS business unit, collectively: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CCS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OWN/DAS</w:t>
            </w:r>
          </w:p>
        </w:tc>
        <w:tc>
          <w:tcPr>
            <w:tcW w:w="10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9, 2026</w:t>
            </w:r>
          </w:p>
        </w:tc>
        <w:tc>
          <w:tcPr>
            <w:tcW w:w="18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10"/>
        </w:trPr>
        <w:tc>
          <w:tcPr>
            <w:tcW w:w="7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consideration received (net of cash acquired)</w:t>
            </w: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34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100" w:type="dxa"/>
            <w:vAlign w:val="bottom"/>
            <w:shd w:val="clear" w:color="auto" w:fill="CCEC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0"/>
        </w:trPr>
        <w:tc>
          <w:tcPr>
            <w:tcW w:w="76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disposal consideration</w:t>
            </w:r>
          </w:p>
        </w:tc>
        <w:tc>
          <w:tcPr>
            <w:tcW w:w="200" w:type="dxa"/>
            <w:vAlign w:val="bottom"/>
            <w:tcBorders>
              <w:top w:val="single" w:sz="8" w:color="auto"/>
            </w:tcBorders>
            <w:shd w:val="clear" w:color="auto" w:fill="CCECFF"/>
          </w:tcPr>
          <w:p>
            <w:pPr>
              <w:spacing w:after="0"/>
              <w:rPr>
                <w:sz w:val="18"/>
                <w:szCs w:val="18"/>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10,460.4</w:t>
            </w:r>
          </w:p>
        </w:tc>
        <w:tc>
          <w:tcPr>
            <w:tcW w:w="34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00" w:type="dxa"/>
            <w:vAlign w:val="bottom"/>
            <w:shd w:val="clear" w:color="auto" w:fill="CCEC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Carrying value of net assets sold</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(3,326.1)</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(1,057.8)</w:t>
            </w:r>
          </w:p>
        </w:tc>
      </w:tr>
      <w:tr>
        <w:trPr>
          <w:trHeight w:val="191"/>
        </w:trPr>
        <w:tc>
          <w:tcPr>
            <w:tcW w:w="7640" w:type="dxa"/>
            <w:vAlign w:val="bottom"/>
            <w:shd w:val="clear" w:color="auto" w:fill="CCECFF"/>
          </w:tcPr>
          <w:p>
            <w:pPr>
              <w:ind w:left="140"/>
              <w:spacing w:after="0" w:line="191" w:lineRule="exact"/>
              <w:rPr>
                <w:sz w:val="20"/>
                <w:szCs w:val="20"/>
                <w:color w:val="auto"/>
              </w:rPr>
            </w:pPr>
            <w:r>
              <w:rPr>
                <w:rFonts w:ascii="Times New Roman" w:cs="Times New Roman" w:eastAsia="Times New Roman" w:hAnsi="Times New Roman"/>
                <w:sz w:val="18"/>
                <w:szCs w:val="18"/>
                <w:color w:val="auto"/>
              </w:rPr>
              <w:t>Gain on disposal before income taxes and reclassification of</w:t>
            </w:r>
          </w:p>
        </w:tc>
        <w:tc>
          <w:tcPr>
            <w:tcW w:w="200" w:type="dxa"/>
            <w:vAlign w:val="bottom"/>
            <w:tcBorders>
              <w:top w:val="single" w:sz="8" w:color="auto"/>
            </w:tcBorders>
            <w:shd w:val="clear" w:color="auto" w:fill="CCECFF"/>
          </w:tcPr>
          <w:p>
            <w:pPr>
              <w:spacing w:after="0"/>
              <w:rPr>
                <w:sz w:val="16"/>
                <w:szCs w:val="16"/>
                <w:color w:val="auto"/>
              </w:rPr>
            </w:pPr>
          </w:p>
        </w:tc>
        <w:tc>
          <w:tcPr>
            <w:tcW w:w="1360" w:type="dxa"/>
            <w:vAlign w:val="bottom"/>
            <w:tcBorders>
              <w:top w:val="single" w:sz="8" w:color="auto"/>
            </w:tcBorders>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80" w:type="dxa"/>
            <w:vAlign w:val="bottom"/>
            <w:tcBorders>
              <w:top w:val="single" w:sz="8" w:color="auto"/>
            </w:tcBorders>
            <w:shd w:val="clear" w:color="auto" w:fill="CCECFF"/>
          </w:tcPr>
          <w:p>
            <w:pPr>
              <w:spacing w:after="0"/>
              <w:rPr>
                <w:sz w:val="16"/>
                <w:szCs w:val="16"/>
                <w:color w:val="auto"/>
              </w:rPr>
            </w:pPr>
          </w:p>
        </w:tc>
        <w:tc>
          <w:tcPr>
            <w:tcW w:w="1420" w:type="dxa"/>
            <w:vAlign w:val="bottom"/>
            <w:tcBorders>
              <w:top w:val="single" w:sz="8" w:color="auto"/>
            </w:tcBorders>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234"/>
        </w:trPr>
        <w:tc>
          <w:tcPr>
            <w:tcW w:w="764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shd w:val="clear" w:color="auto" w:fill="CCECFF"/>
          </w:tcPr>
          <w:p>
            <w:pPr>
              <w:spacing w:after="0"/>
              <w:rPr>
                <w:sz w:val="20"/>
                <w:szCs w:val="20"/>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3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shd w:val="clear" w:color="auto" w:fill="CCECFF"/>
          </w:tcPr>
          <w:p>
            <w:pPr>
              <w:spacing w:after="0"/>
              <w:rPr>
                <w:sz w:val="20"/>
                <w:szCs w:val="20"/>
                <w:color w:val="auto"/>
              </w:rPr>
            </w:pPr>
          </w:p>
        </w:tc>
      </w:tr>
      <w:tr>
        <w:trPr>
          <w:trHeight w:val="216"/>
        </w:trPr>
        <w:tc>
          <w:tcPr>
            <w:tcW w:w="7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Reclassification of foreign currency translation and other </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r>
      <w:tr>
        <w:trPr>
          <w:trHeight w:val="210"/>
        </w:trPr>
        <w:tc>
          <w:tcPr>
            <w:tcW w:w="76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Gain on disposal before income taxes</w:t>
            </w:r>
          </w:p>
        </w:tc>
        <w:tc>
          <w:tcPr>
            <w:tcW w:w="200" w:type="dxa"/>
            <w:vAlign w:val="bottom"/>
            <w:tcBorders>
              <w:top w:val="single" w:sz="8" w:color="auto"/>
            </w:tcBorders>
            <w:shd w:val="clear" w:color="auto" w:fill="CCECFF"/>
          </w:tcPr>
          <w:p>
            <w:pPr>
              <w:spacing w:after="0"/>
              <w:rPr>
                <w:sz w:val="18"/>
                <w:szCs w:val="18"/>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34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C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(1,652.9)</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(386.6)</w:t>
            </w:r>
          </w:p>
        </w:tc>
      </w:tr>
      <w:tr>
        <w:trPr>
          <w:trHeight w:val="250"/>
        </w:trPr>
        <w:tc>
          <w:tcPr>
            <w:tcW w:w="764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Gain on disposal, net of income taxes</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5,355.0</w:t>
            </w:r>
          </w:p>
        </w:tc>
        <w:tc>
          <w:tcPr>
            <w:tcW w:w="3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top w:val="single" w:sz="8" w:color="auto"/>
              <w:bottom w:val="single" w:sz="8" w:color="auto"/>
            </w:tcBorders>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reclassifications of foreign currency translation, defined benefit plan activity and hedging instrument amounts from accumulated other comprehensive income (loss) on the Condensed Consolidated Balance Sheets related to the divestiture of the CCS segment during the first quarter of 2026. Includes the reclassification of foreign currency translation from accumulated other comprehensive income (loss) on the Condensed Consolidated Balance Sheets related to the divestiture of the OWN segment and DAS business unit during the first quarter of 2025.</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on the Condensed Consolidated Statements of Cash Flows, and accordingly, they include the results from continuing and discontinued operations. The following table summarizes the Company’s cash inflows related to the ongoing activities of the discontinued operations, including the Amphenol and Vantiva TSAs, as described below, and inventory sales resulting from the Amphenol MSA and Vantiva Supply Agreement, as described above: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4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Amphenol MSA inventory sales</w:t>
            </w:r>
          </w:p>
        </w:tc>
        <w:tc>
          <w:tcPr>
            <w:tcW w:w="4020" w:type="dxa"/>
            <w:vAlign w:val="bottom"/>
            <w:gridSpan w:val="2"/>
            <w:shd w:val="clear" w:color="auto" w:fill="CCEC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gridSpan w:val="2"/>
            <w:shd w:val="clear" w:color="auto" w:fill="CCEC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C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Vantiva Supply Agreement and other inventory sales</w:t>
            </w: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6"/>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Vantiva TSA fees</w:t>
            </w:r>
          </w:p>
        </w:tc>
        <w:tc>
          <w:tcPr>
            <w:tcW w:w="304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CFF"/>
          </w:tcPr>
          <w:p>
            <w:pPr>
              <w:spacing w:after="0"/>
              <w:rPr>
                <w:sz w:val="18"/>
                <w:szCs w:val="18"/>
                <w:color w:val="auto"/>
              </w:rPr>
            </w:pPr>
          </w:p>
        </w:tc>
      </w:tr>
      <w:tr>
        <w:trPr>
          <w:trHeight w:val="648"/>
        </w:trPr>
        <w:tc>
          <w:tcPr>
            <w:tcW w:w="4680" w:type="dxa"/>
            <w:vAlign w:val="bottom"/>
          </w:tcPr>
          <w:p>
            <w:pPr>
              <w:spacing w:after="0"/>
              <w:rPr>
                <w:sz w:val="24"/>
                <w:szCs w:val="24"/>
                <w:color w:val="auto"/>
              </w:rPr>
            </w:pPr>
          </w:p>
        </w:tc>
        <w:tc>
          <w:tcPr>
            <w:tcW w:w="30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5"/>
        </w:trPr>
        <w:tc>
          <w:tcPr>
            <w:tcW w:w="46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significant non-cash operating items of the discontinued operations included on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3200" w:type="dxa"/>
            <w:vAlign w:val="bottom"/>
            <w:gridSpan w:val="2"/>
            <w:shd w:val="clear" w:color="auto" w:fill="CCEC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88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4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CFF"/>
          </w:tcPr>
          <w:p>
            <w:pPr>
              <w:spacing w:after="0"/>
              <w:rPr>
                <w:sz w:val="18"/>
                <w:szCs w:val="18"/>
                <w:color w:val="auto"/>
              </w:rPr>
            </w:pPr>
          </w:p>
        </w:tc>
      </w:tr>
      <w:tr>
        <w:trPr>
          <w:trHeight w:val="234"/>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-709295</wp:posOffset>
            </wp:positionV>
            <wp:extent cx="9398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-709295</wp:posOffset>
            </wp:positionV>
            <wp:extent cx="939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 Agreements</w:t>
      </w:r>
    </w:p>
    <w:p>
      <w:pPr>
        <w:spacing w:after="0" w:line="121"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In conjunction with the closing of the sale of the OWN segment and DAS business unit, the Company entered into the Amphenol TSA. The terms of the Amphenol TSA vary based on the services provided thereunder and provide options to extend services for up to two renewal terms of three months each. Subsequent to the closing of the sale of the CCS segment, the Company extended the Amphenol TSA, including a reverse TSA for which the Company receives specified transition services from Amphenol for a defined transition period, with the ability to continue certain services for limited additional periods in accordance with the applicable services schedules. The Company is responsible for fees and related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costs incurred in connection with the provision of such services, including applicable taxes, and may incur incremental costs if services are continued beyond the initial transition period. For the three months ended March 31, 2026 and 2025, the Company recognized income of $1.1 million and $7.1 million, respectively, under the Amphenol TSA. For the three months ended March 31, 2025, the Company recognized income of $1.6 million under the Vantiva TSA. TSA income is included in transition service agreement income within income (loss) from continuing operations on the Condensed Consolidated Statements of Operations. For the three months ended March 31, 2026, the Company incurred costs of $4.0 million under the reverse TSA, which is primarily included in selling, general and administrative expenses within income (loss) from continuing operations on the Condensed Consolidated Statements of Operations.</w:t>
      </w:r>
    </w:p>
    <w:p>
      <w:pPr>
        <w:spacing w:after="0" w:line="305" w:lineRule="exact"/>
        <w:rPr>
          <w:sz w:val="20"/>
          <w:szCs w:val="20"/>
          <w:color w:val="auto"/>
        </w:rPr>
      </w:pPr>
    </w:p>
    <w:p>
      <w:pPr>
        <w:ind w:right="6660" w:firstLine="8"/>
        <w:spacing w:after="0" w:line="378"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Net Sales</w:t>
      </w:r>
    </w:p>
    <w:p>
      <w:pPr>
        <w:spacing w:after="0"/>
        <w:rPr>
          <w:sz w:val="20"/>
          <w:szCs w:val="20"/>
          <w:color w:val="auto"/>
        </w:rPr>
      </w:pPr>
      <w:r>
        <w:rPr>
          <w:rFonts w:ascii="Times New Roman" w:cs="Times New Roman" w:eastAsia="Times New Roman" w:hAnsi="Times New Roman"/>
          <w:sz w:val="18"/>
          <w:szCs w:val="18"/>
          <w:color w:val="auto"/>
        </w:rPr>
        <w:t>See Note 6 for the presentation of net sales by segment and geographic region.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8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4180" w:type="dxa"/>
            <w:vAlign w:val="bottom"/>
            <w:gridSpan w:val="2"/>
            <w:shd w:val="clear" w:color="auto" w:fill="CCEC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16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41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16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4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-1353820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Balances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balance sheet location and amounts of contract assets, or unbilled accounts receivable, and contract liabilities, or deferred revenue, from contracts with customers: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Contract Balance Type</w:t>
            </w:r>
          </w:p>
        </w:tc>
        <w:tc>
          <w:tcPr>
            <w:tcW w:w="160" w:type="dxa"/>
            <w:vAlign w:val="bottom"/>
          </w:tcPr>
          <w:p>
            <w:pPr>
              <w:spacing w:after="0"/>
              <w:rPr>
                <w:sz w:val="13"/>
                <w:szCs w:val="13"/>
                <w:color w:val="auto"/>
              </w:rPr>
            </w:pPr>
          </w:p>
        </w:tc>
        <w:tc>
          <w:tcPr>
            <w:tcW w:w="45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CFF"/>
          </w:tcPr>
          <w:p>
            <w:pPr>
              <w:spacing w:after="0"/>
              <w:rPr>
                <w:sz w:val="16"/>
                <w:szCs w:val="16"/>
                <w:color w:val="auto"/>
              </w:rPr>
            </w:pPr>
          </w:p>
        </w:tc>
        <w:tc>
          <w:tcPr>
            <w:tcW w:w="4660" w:type="dxa"/>
            <w:vAlign w:val="bottom"/>
            <w:gridSpan w:val="2"/>
            <w:shd w:val="clear" w:color="auto" w:fill="CCECFF"/>
          </w:tcPr>
          <w:p>
            <w:pPr>
              <w:ind w:left="160"/>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w:t>
            </w:r>
          </w:p>
        </w:tc>
        <w:tc>
          <w:tcPr>
            <w:tcW w:w="16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shd w:val="clear" w:color="auto" w:fill="CCECFF"/>
          </w:tcPr>
          <w:p>
            <w:pPr>
              <w:spacing w:after="0"/>
              <w:rPr>
                <w:sz w:val="20"/>
                <w:szCs w:val="20"/>
                <w:color w:val="auto"/>
              </w:rPr>
            </w:pPr>
          </w:p>
        </w:tc>
        <w:tc>
          <w:tcPr>
            <w:tcW w:w="4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for doubtful accounts</w:t>
            </w:r>
          </w:p>
        </w:tc>
        <w:tc>
          <w:tcPr>
            <w:tcW w:w="1180" w:type="dxa"/>
            <w:vAlign w:val="bottom"/>
            <w:gridSpan w:val="2"/>
            <w:shd w:val="clear" w:color="auto" w:fill="CCEC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46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180" w:type="dxa"/>
            <w:vAlign w:val="bottom"/>
            <w:gridSpan w:val="2"/>
            <w:shd w:val="clear" w:color="auto" w:fill="CCEC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122.4</w:t>
            </w:r>
          </w:p>
        </w:tc>
        <w:tc>
          <w:tcPr>
            <w:tcW w:w="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60" w:type="dxa"/>
            <w:vAlign w:val="bottom"/>
            <w:shd w:val="clear" w:color="auto" w:fill="CCECFF"/>
          </w:tcPr>
          <w:p>
            <w:pPr>
              <w:spacing w:after="0"/>
              <w:rPr>
                <w:sz w:val="19"/>
                <w:szCs w:val="19"/>
                <w:color w:val="auto"/>
              </w:rPr>
            </w:pPr>
          </w:p>
        </w:tc>
        <w:tc>
          <w:tcPr>
            <w:tcW w:w="450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222.3</w:t>
            </w:r>
          </w:p>
        </w:tc>
        <w:tc>
          <w:tcPr>
            <w:tcW w:w="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45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were no material changes to contract asset balances for the three months ended March 31, 2026 as a result of changes in estimates or impairments. The change in the contract liability balance from December 31, 2025 to March 31, 2026 was primarily due to upfront support billings to be recognized over the support term. During the three months ended March 31, 2026, the Company recognized $38.6 million of revenue related to contract liabilities recorded as of December 31, 2025.</w:t>
      </w:r>
    </w:p>
    <w:p>
      <w:pPr>
        <w:spacing w:after="0" w:line="284" w:lineRule="exact"/>
        <w:rPr>
          <w:sz w:val="20"/>
          <w:szCs w:val="20"/>
          <w:color w:val="auto"/>
        </w:rPr>
      </w:pPr>
    </w:p>
    <w:p>
      <w:pPr>
        <w:ind w:right="5940" w:firstLine="8"/>
        <w:spacing w:after="0" w:line="41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STATEMENT INFORMATION Inventories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5"/>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spacing w:after="0"/>
              <w:rPr>
                <w:sz w:val="18"/>
                <w:szCs w:val="18"/>
                <w:color w:val="auto"/>
              </w:rPr>
            </w:pPr>
          </w:p>
        </w:tc>
        <w:tc>
          <w:tcPr>
            <w:tcW w:w="15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440" w:type="dxa"/>
            <w:vAlign w:val="bottom"/>
            <w:gridSpan w:val="3"/>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spacing w:after="0"/>
              <w:rPr>
                <w:sz w:val="18"/>
                <w:szCs w:val="18"/>
                <w:color w:val="auto"/>
              </w:rPr>
            </w:pPr>
          </w:p>
        </w:tc>
        <w:tc>
          <w:tcPr>
            <w:tcW w:w="156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auto"/>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20" w:type="dxa"/>
            <w:vAlign w:val="bottom"/>
            <w:gridSpan w:val="3"/>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shd w:val="clear" w:color="auto" w:fill="CCECFF"/>
          </w:tcPr>
          <w:p>
            <w:pPr>
              <w:spacing w:after="0"/>
              <w:rPr>
                <w:sz w:val="18"/>
                <w:szCs w:val="18"/>
                <w:color w:val="auto"/>
              </w:rPr>
            </w:pPr>
          </w:p>
        </w:tc>
        <w:tc>
          <w:tcPr>
            <w:tcW w:w="4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employee benefit liabilities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15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600" w:type="dxa"/>
            <w:vAlign w:val="bottom"/>
            <w:gridSpan w:val="4"/>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spacing w:after="0"/>
              <w:rPr>
                <w:sz w:val="18"/>
                <w:szCs w:val="18"/>
                <w:color w:val="auto"/>
              </w:rPr>
            </w:pPr>
          </w:p>
        </w:tc>
        <w:tc>
          <w:tcPr>
            <w:tcW w:w="1600" w:type="dxa"/>
            <w:vAlign w:val="bottom"/>
            <w:tcBorders>
              <w:bottom w:val="single" w:sz="8" w:color="auto"/>
            </w:tcBorders>
            <w:gridSpan w:val="4"/>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120.6</w:t>
            </w:r>
          </w:p>
        </w:tc>
        <w:tc>
          <w:tcPr>
            <w:tcW w:w="3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spacing w:after="0"/>
              <w:rPr>
                <w:sz w:val="18"/>
                <w:szCs w:val="18"/>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2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tcPr>
          <w:p>
            <w:pPr>
              <w:spacing w:after="0"/>
              <w:rPr>
                <w:sz w:val="18"/>
                <w:szCs w:val="18"/>
                <w:color w:val="auto"/>
              </w:rPr>
            </w:pPr>
          </w:p>
        </w:tc>
        <w:tc>
          <w:tcPr>
            <w:tcW w:w="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 Information</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740" w:type="dxa"/>
            <w:vAlign w:val="bottom"/>
          </w:tcPr>
          <w:p>
            <w:pPr>
              <w:spacing w:after="0"/>
              <w:rPr>
                <w:sz w:val="24"/>
                <w:szCs w:val="24"/>
                <w:color w:val="auto"/>
              </w:rPr>
            </w:pPr>
          </w:p>
        </w:tc>
        <w:tc>
          <w:tcPr>
            <w:tcW w:w="2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220" w:type="dxa"/>
            <w:vAlign w:val="bottom"/>
            <w:gridSpan w:val="3"/>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60" w:type="dxa"/>
            <w:vAlign w:val="bottom"/>
            <w:gridSpan w:val="3"/>
            <w:shd w:val="clear" w:color="auto" w:fill="CCEC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4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300" w:type="dxa"/>
            <w:vAlign w:val="bottom"/>
            <w:gridSpan w:val="2"/>
            <w:shd w:val="clear" w:color="auto" w:fill="CCEC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2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220" w:type="dxa"/>
            <w:vAlign w:val="bottom"/>
            <w:gridSpan w:val="3"/>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560" w:type="dxa"/>
            <w:vAlign w:val="bottom"/>
            <w:gridSpan w:val="3"/>
            <w:shd w:val="clear" w:color="auto" w:fill="CCEC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4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300" w:type="dxa"/>
            <w:vAlign w:val="bottom"/>
            <w:gridSpan w:val="2"/>
            <w:shd w:val="clear" w:color="auto" w:fill="CCEC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5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1560" w:type="dxa"/>
            <w:vAlign w:val="bottom"/>
            <w:gridSpan w:val="3"/>
            <w:shd w:val="clear" w:color="auto" w:fill="CCEC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4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300" w:type="dxa"/>
            <w:vAlign w:val="bottom"/>
            <w:gridSpan w:val="2"/>
            <w:shd w:val="clear" w:color="auto" w:fill="CCEC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740" w:type="dxa"/>
            <w:vAlign w:val="bottom"/>
            <w:tcBorders>
              <w:top w:val="single" w:sz="8" w:color="CCECFF"/>
            </w:tcBorders>
          </w:tcPr>
          <w:p>
            <w:pPr>
              <w:spacing w:after="0"/>
              <w:rPr>
                <w:sz w:val="24"/>
                <w:szCs w:val="24"/>
                <w:color w:val="auto"/>
              </w:rPr>
            </w:pPr>
          </w:p>
        </w:tc>
        <w:tc>
          <w:tcPr>
            <w:tcW w:w="1500" w:type="dxa"/>
            <w:vAlign w:val="bottom"/>
            <w:tcBorders>
              <w:top w:val="single" w:sz="8" w:color="CCECFF"/>
            </w:tcBorders>
          </w:tcPr>
          <w:p>
            <w:pPr>
              <w:ind w:left="80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CFF"/>
            </w:tcBorders>
          </w:tcPr>
          <w:p>
            <w:pPr>
              <w:spacing w:after="0"/>
              <w:rPr>
                <w:sz w:val="24"/>
                <w:szCs w:val="24"/>
                <w:color w:val="auto"/>
              </w:rPr>
            </w:pPr>
          </w:p>
        </w:tc>
        <w:tc>
          <w:tcPr>
            <w:tcW w:w="580" w:type="dxa"/>
            <w:vAlign w:val="bottom"/>
            <w:tcBorders>
              <w:top w:val="single" w:sz="8" w:color="CCECFF"/>
            </w:tcBorders>
          </w:tcPr>
          <w:p>
            <w:pPr>
              <w:spacing w:after="0"/>
              <w:rPr>
                <w:sz w:val="24"/>
                <w:szCs w:val="24"/>
                <w:color w:val="auto"/>
              </w:rPr>
            </w:pPr>
          </w:p>
        </w:tc>
        <w:tc>
          <w:tcPr>
            <w:tcW w:w="600" w:type="dxa"/>
            <w:vAlign w:val="bottom"/>
            <w:tcBorders>
              <w:top w:val="single" w:sz="8" w:color="CCECFF"/>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4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-4259580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-2750820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-1190625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(AOCI (AOCL))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AOCI (AOCL), net of tax:</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69"/>
        </w:trPr>
        <w:tc>
          <w:tcPr>
            <w:tcW w:w="7540" w:type="dxa"/>
            <w:vAlign w:val="bottom"/>
            <w:gridSpan w:val="4"/>
            <w:shd w:val="clear" w:color="auto" w:fill="CCECFF"/>
          </w:tcPr>
          <w:p>
            <w:pPr>
              <w:spacing w:after="0" w:line="169"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21"/>
        </w:trPr>
        <w:tc>
          <w:tcPr>
            <w:tcW w:w="1520" w:type="dxa"/>
            <w:vAlign w:val="bottom"/>
            <w:tcBorders>
              <w:top w:val="single" w:sz="8" w:color="auto"/>
            </w:tcBorders>
            <w:shd w:val="clear" w:color="auto" w:fill="CCECFF"/>
          </w:tcPr>
          <w:p>
            <w:pPr>
              <w:spacing w:after="0" w:line="20" w:lineRule="exact"/>
              <w:rPr>
                <w:sz w:val="1"/>
                <w:szCs w:val="1"/>
                <w:color w:val="auto"/>
              </w:rPr>
            </w:pPr>
          </w:p>
        </w:tc>
        <w:tc>
          <w:tcPr>
            <w:tcW w:w="520" w:type="dxa"/>
            <w:vAlign w:val="bottom"/>
            <w:tcBorders>
              <w:top w:val="single" w:sz="8" w:color="auto"/>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5460" w:type="dxa"/>
            <w:vAlign w:val="bottom"/>
            <w:tcBorders>
              <w:top w:val="single" w:sz="8" w:color="CCECFF"/>
            </w:tcBorders>
            <w:shd w:val="clear" w:color="auto" w:fill="CCECFF"/>
          </w:tcPr>
          <w:p>
            <w:pPr>
              <w:spacing w:after="0" w:line="20" w:lineRule="exact"/>
              <w:rPr>
                <w:sz w:val="1"/>
                <w:szCs w:val="1"/>
                <w:color w:val="auto"/>
              </w:rPr>
            </w:pPr>
          </w:p>
        </w:tc>
        <w:tc>
          <w:tcPr>
            <w:tcW w:w="110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1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w:t>
            </w:r>
          </w:p>
        </w:tc>
      </w:tr>
      <w:tr>
        <w:trPr>
          <w:trHeight w:val="216"/>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CFF"/>
          </w:tcPr>
          <w:p>
            <w:pPr>
              <w:spacing w:after="0"/>
              <w:rPr>
                <w:sz w:val="18"/>
                <w:szCs w:val="18"/>
                <w:color w:val="auto"/>
              </w:rPr>
            </w:pP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r>
      <w:tr>
        <w:trPr>
          <w:trHeight w:val="210"/>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00" w:type="dxa"/>
            <w:vAlign w:val="bottom"/>
            <w:shd w:val="clear" w:color="auto" w:fill="CCEC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(172.5)</w:t>
            </w:r>
          </w:p>
        </w:tc>
      </w:tr>
      <w:tr>
        <w:trPr>
          <w:trHeight w:val="209"/>
        </w:trPr>
        <w:tc>
          <w:tcPr>
            <w:tcW w:w="1520" w:type="dxa"/>
            <w:vAlign w:val="bottom"/>
            <w:tcBorders>
              <w:top w:val="single" w:sz="8" w:color="CCECFF"/>
            </w:tcBorders>
          </w:tcPr>
          <w:p>
            <w:pPr>
              <w:spacing w:after="0"/>
              <w:rPr>
                <w:sz w:val="18"/>
                <w:szCs w:val="18"/>
                <w:color w:val="auto"/>
              </w:rPr>
            </w:pPr>
          </w:p>
        </w:tc>
        <w:tc>
          <w:tcPr>
            <w:tcW w:w="52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5460" w:type="dxa"/>
            <w:vAlign w:val="bottom"/>
            <w:tcBorders>
              <w:top w:val="single" w:sz="8" w:color="CCEC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196"/>
        </w:trPr>
        <w:tc>
          <w:tcPr>
            <w:tcW w:w="2080" w:type="dxa"/>
            <w:vAlign w:val="bottom"/>
            <w:tcBorders>
              <w:bottom w:val="single" w:sz="8" w:color="auto"/>
            </w:tcBorders>
            <w:gridSpan w:val="3"/>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w w:val="99"/>
              </w:rPr>
              <w:t>Defined benefit plan activity</w:t>
            </w:r>
          </w:p>
        </w:tc>
        <w:tc>
          <w:tcPr>
            <w:tcW w:w="546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CCECFF"/>
            </w:tcBorders>
            <w:shd w:val="clear" w:color="auto" w:fill="CCECFF"/>
          </w:tcPr>
          <w:p>
            <w:pPr>
              <w:spacing w:after="0"/>
              <w:rPr>
                <w:sz w:val="17"/>
                <w:szCs w:val="17"/>
                <w:color w:val="auto"/>
              </w:rPr>
            </w:pPr>
          </w:p>
        </w:tc>
        <w:tc>
          <w:tcPr>
            <w:tcW w:w="5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1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shd w:val="clear" w:color="auto" w:fill="CCECFF"/>
          </w:tcPr>
          <w:p>
            <w:pPr>
              <w:spacing w:after="0"/>
              <w:rPr>
                <w:sz w:val="18"/>
                <w:szCs w:val="18"/>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00" w:type="dxa"/>
            <w:vAlign w:val="bottom"/>
            <w:shd w:val="clear" w:color="auto" w:fill="CCEC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1520" w:type="dxa"/>
            <w:vAlign w:val="bottom"/>
            <w:tcBorders>
              <w:top w:val="single" w:sz="8" w:color="CCECFF"/>
            </w:tcBorders>
          </w:tcPr>
          <w:p>
            <w:pPr>
              <w:spacing w:after="0"/>
              <w:rPr>
                <w:sz w:val="18"/>
                <w:szCs w:val="18"/>
                <w:color w:val="auto"/>
              </w:rPr>
            </w:pPr>
          </w:p>
        </w:tc>
        <w:tc>
          <w:tcPr>
            <w:tcW w:w="52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5460" w:type="dxa"/>
            <w:vAlign w:val="bottom"/>
            <w:tcBorders>
              <w:top w:val="single" w:sz="8" w:color="CCEC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196"/>
        </w:trPr>
        <w:tc>
          <w:tcPr>
            <w:tcW w:w="1520" w:type="dxa"/>
            <w:vAlign w:val="bottom"/>
            <w:tcBorders>
              <w:bottom w:val="single" w:sz="8" w:color="auto"/>
            </w:tcBorders>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w w:val="99"/>
              </w:rPr>
              <w:t>Hedging instruments</w:t>
            </w:r>
          </w:p>
        </w:tc>
        <w:tc>
          <w:tcPr>
            <w:tcW w:w="6020" w:type="dxa"/>
            <w:vAlign w:val="bottom"/>
            <w:tcBorders>
              <w:bottom w:val="single" w:sz="8" w:color="CCECFF"/>
            </w:tcBorders>
            <w:gridSpan w:val="3"/>
            <w:shd w:val="clear" w:color="auto" w:fill="CCECFF"/>
          </w:tcPr>
          <w:p>
            <w:pPr>
              <w:spacing w:after="0"/>
              <w:rPr>
                <w:sz w:val="17"/>
                <w:szCs w:val="17"/>
                <w:color w:val="auto"/>
              </w:rPr>
            </w:pPr>
          </w:p>
        </w:tc>
        <w:tc>
          <w:tcPr>
            <w:tcW w:w="1100" w:type="dxa"/>
            <w:vAlign w:val="bottom"/>
            <w:tcBorders>
              <w:bottom w:val="single" w:sz="8" w:color="CCECFF"/>
            </w:tcBorders>
            <w:shd w:val="clear" w:color="auto" w:fill="CCECFF"/>
          </w:tcPr>
          <w:p>
            <w:pPr>
              <w:spacing w:after="0"/>
              <w:rPr>
                <w:sz w:val="17"/>
                <w:szCs w:val="17"/>
                <w:color w:val="auto"/>
              </w:rPr>
            </w:pPr>
          </w:p>
        </w:tc>
        <w:tc>
          <w:tcPr>
            <w:tcW w:w="5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12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54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00" w:type="dxa"/>
            <w:vAlign w:val="bottom"/>
            <w:shd w:val="clear" w:color="auto" w:fill="CCEC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152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546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0"/>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AOCI (AOCL) at end of period</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w:t>
            </w: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-1851025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-1010920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reclassification of foreign currency translation, defined benefit plan activity and hedging instrument amounts from net AOCI (AOCL) related to the divestiture of the CCS segment during the first quarter of 2026. During the three months ended March 31, 2025, the reclassification of foreign currency translation amount from net AOCI (AOCL) related to the divestiture of the OWN segment and DAS business during the first quarter of 2025. The reclassified amounts resulting from the divestitures were recorded in the gain (loss) on disposal included in income (loss) from discontinued operations, net of income taxes, on the Condensed Consolidated Statements of Operations. See Note 2 for further discussion of the Company’s divestitures.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3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34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54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16"/>
        </w:trPr>
        <w:tc>
          <w:tcPr>
            <w:tcW w:w="39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34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CFF"/>
          </w:tcPr>
          <w:p>
            <w:pPr>
              <w:spacing w:after="0"/>
              <w:rPr>
                <w:sz w:val="18"/>
                <w:szCs w:val="18"/>
                <w:color w:val="auto"/>
              </w:rPr>
            </w:pPr>
          </w:p>
        </w:tc>
      </w:tr>
      <w:tr>
        <w:trPr>
          <w:trHeight w:val="648"/>
        </w:trPr>
        <w:tc>
          <w:tcPr>
            <w:tcW w:w="3920" w:type="dxa"/>
            <w:vAlign w:val="bottom"/>
          </w:tcPr>
          <w:p>
            <w:pPr>
              <w:spacing w:after="0"/>
              <w:rPr>
                <w:sz w:val="24"/>
                <w:szCs w:val="24"/>
                <w:color w:val="auto"/>
              </w:rPr>
            </w:pPr>
          </w:p>
        </w:tc>
        <w:tc>
          <w:tcPr>
            <w:tcW w:w="33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5"/>
        </w:trPr>
        <w:tc>
          <w:tcPr>
            <w:tcW w:w="39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FINANCING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7.125% senior notes due July 2028</w:t>
            </w:r>
          </w:p>
        </w:tc>
        <w:tc>
          <w:tcPr>
            <w:tcW w:w="3200" w:type="dxa"/>
            <w:vAlign w:val="bottom"/>
            <w:gridSpan w:val="2"/>
            <w:shd w:val="clear" w:color="auto" w:fill="CCECFF"/>
          </w:tcPr>
          <w:p>
            <w:pPr>
              <w:jc w:val="right"/>
              <w:ind w:right="12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C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5.00% senior notes due March 2027</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8.25% senior notes due March 2027</w:t>
            </w:r>
          </w:p>
        </w:tc>
        <w:tc>
          <w:tcPr>
            <w:tcW w:w="174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C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9.50% senior secured notes due December 2031</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4.75% senior secured notes due September 2029</w:t>
            </w:r>
          </w:p>
        </w:tc>
        <w:tc>
          <w:tcPr>
            <w:tcW w:w="174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C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6.00% senior secured notes due March 2026</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Senior secured term loan due December 2029</w:t>
            </w:r>
          </w:p>
        </w:tc>
        <w:tc>
          <w:tcPr>
            <w:tcW w:w="174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C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7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0"/>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74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7,359.5</w:t>
            </w:r>
          </w:p>
        </w:tc>
        <w:tc>
          <w:tcPr>
            <w:tcW w:w="100" w:type="dxa"/>
            <w:vAlign w:val="bottom"/>
            <w:shd w:val="clear" w:color="auto" w:fill="CCEC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Original issue discount, net of amortization</w:t>
            </w: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5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1740" w:type="dxa"/>
            <w:vAlign w:val="bottom"/>
            <w:shd w:val="clear" w:color="auto" w:fill="CCECFF"/>
          </w:tcPr>
          <w:p>
            <w:pPr>
              <w:spacing w:after="0"/>
              <w:rPr>
                <w:sz w:val="18"/>
                <w:szCs w:val="18"/>
                <w:color w:val="auto"/>
              </w:rPr>
            </w:pPr>
          </w:p>
        </w:tc>
        <w:tc>
          <w:tcPr>
            <w:tcW w:w="1460" w:type="dxa"/>
            <w:vAlign w:val="bottom"/>
            <w:shd w:val="clear" w:color="auto" w:fill="CCECFF"/>
          </w:tcPr>
          <w:p>
            <w:pPr>
              <w:spacing w:after="0"/>
              <w:rPr>
                <w:sz w:val="18"/>
                <w:szCs w:val="18"/>
                <w:color w:val="auto"/>
              </w:rPr>
            </w:pPr>
          </w:p>
        </w:tc>
        <w:tc>
          <w:tcPr>
            <w:tcW w:w="4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6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3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74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auto"/>
            </w:tcBorders>
            <w:shd w:val="clear" w:color="auto" w:fill="CCECFF"/>
          </w:tcPr>
          <w:p>
            <w:pPr>
              <w:jc w:val="right"/>
              <w:ind w:right="12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on January 9, 2026, the Company repaid in full all outstanding indebtedness. For further discussion of the debt repayment and the divestiture of the CCS segment, see Note 2 in these condensed consolidated financial statements.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on April 7, 2026, the Company entered into a revolving credit agreement providing for a senior secured asset-based revolving credit facility (the New Revolving Credit Facility) available to the Company and certain of its U.S. subsidiaries designated as co-borrowers therein, in an aggregate principal amount of up to $300.0 million, subject to borrowing base availability. See Note 8 for further discussion of the New Revolving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SEGMENTS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description of the activities of the Company’s business segments:</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RUCKUS </w:t>
      </w:r>
      <w:r>
        <w:rPr>
          <w:rFonts w:ascii="Times New Roman" w:cs="Times New Roman" w:eastAsia="Times New Roman" w:hAnsi="Times New Roman"/>
          <w:sz w:val="18"/>
          <w:szCs w:val="18"/>
          <w:color w:val="auto"/>
        </w:rPr>
        <w:t>- The segment provides wireless networks for enterprises and service providers. Product offerings include indoor cellular solutions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indoor and outdoor Wi-Fi and LTE access points, access and aggregation switches; an Internet of Things suite, on-premises and cloud-based control and management systems; and software and software-as-a-service applications addressing security, location, reporting and analytics.</w:t>
      </w:r>
    </w:p>
    <w:p>
      <w:pPr>
        <w:spacing w:after="0" w:line="17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Aurora - </w:t>
      </w:r>
      <w:r>
        <w:rPr>
          <w:rFonts w:ascii="Times New Roman" w:cs="Times New Roman" w:eastAsia="Times New Roman" w:hAnsi="Times New Roman"/>
          <w:sz w:val="18"/>
          <w:szCs w:val="18"/>
          <w:color w:val="auto"/>
        </w:rPr>
        <w:t>The segment’s product solutions include cable modem termination systems, video infrastructure, public key infrastructure solutions,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transmission equipment and cloud solutions that enable facility-based service providers to construct a state-of-the-art residential and metro distribution network.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summary financial information by reportable segment: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Identifiable segment-related assets: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RUCKUS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Aurora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identifiable segment-related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Reconciliation to total assets: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line="230" w:lineRule="auto"/>
        <w:rPr>
          <w:sz w:val="20"/>
          <w:szCs w:val="20"/>
          <w:color w:val="auto"/>
        </w:rPr>
      </w:pPr>
      <w:r>
        <w:rPr>
          <w:rFonts w:ascii="Times New Roman" w:cs="Times New Roman" w:eastAsia="Times New Roman" w:hAnsi="Times New Roman"/>
          <w:sz w:val="18"/>
          <w:szCs w:val="18"/>
          <w:color w:val="auto"/>
        </w:rPr>
        <w:t>Deferred income tax assets</w:t>
      </w:r>
    </w:p>
    <w:p>
      <w:pPr>
        <w:ind w:left="80"/>
        <w:spacing w:after="0" w:line="224" w:lineRule="auto"/>
        <w:rPr>
          <w:sz w:val="20"/>
          <w:szCs w:val="20"/>
          <w:color w:val="auto"/>
        </w:rPr>
      </w:pPr>
      <w:r>
        <w:rPr>
          <w:rFonts w:ascii="Times New Roman" w:cs="Times New Roman" w:eastAsia="Times New Roman" w:hAnsi="Times New Roman"/>
          <w:sz w:val="18"/>
          <w:szCs w:val="18"/>
          <w:color w:val="auto"/>
        </w:rPr>
        <w:t xml:space="preserve">Divested and other business assets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Assets held for sale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840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85" w:lineRule="exact"/>
        <w:rPr>
          <w:sz w:val="20"/>
          <w:szCs w:val="20"/>
          <w:color w:val="auto"/>
        </w:rPr>
      </w:pPr>
    </w:p>
    <w:p>
      <w:pPr>
        <w:ind w:left="900" w:hanging="89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912.0</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1,705.9</w:t>
      </w:r>
    </w:p>
    <w:p>
      <w:pPr>
        <w:spacing w:after="0" w:line="9"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2,617.9</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2,510.0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80" w:hanging="778"/>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401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8401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14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85" w:lineRule="exact"/>
        <w:rPr>
          <w:sz w:val="20"/>
          <w:szCs w:val="20"/>
          <w:color w:val="auto"/>
        </w:rPr>
      </w:pPr>
    </w:p>
    <w:p>
      <w:pPr>
        <w:ind w:left="864" w:hanging="864"/>
        <w:spacing w:after="0"/>
        <w:tabs>
          <w:tab w:leader="none" w:pos="86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839.6</w:t>
      </w:r>
    </w:p>
    <w:p>
      <w:pPr>
        <w:spacing w:after="0" w:line="38" w:lineRule="exact"/>
        <w:rPr>
          <w:rFonts w:ascii="Times New Roman" w:cs="Times New Roman" w:eastAsia="Times New Roman" w:hAnsi="Times New Roman"/>
          <w:sz w:val="17"/>
          <w:szCs w:val="17"/>
          <w:color w:val="auto"/>
        </w:rPr>
      </w:pPr>
    </w:p>
    <w:p>
      <w:pPr>
        <w:ind w:left="7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1,629.3</w:t>
      </w:r>
    </w:p>
    <w:p>
      <w:pPr>
        <w:spacing w:after="0" w:line="9" w:lineRule="exact"/>
        <w:rPr>
          <w:rFonts w:ascii="Times New Roman" w:cs="Times New Roman" w:eastAsia="Times New Roman" w:hAnsi="Times New Roman"/>
          <w:sz w:val="17"/>
          <w:szCs w:val="17"/>
          <w:color w:val="auto"/>
        </w:rPr>
      </w:pPr>
    </w:p>
    <w:p>
      <w:pPr>
        <w:ind w:left="7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2,468.9</w:t>
      </w:r>
    </w:p>
    <w:p>
      <w:pPr>
        <w:spacing w:after="0" w:line="220"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754.4</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1,765.9</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57.3</w:t>
      </w:r>
    </w:p>
    <w:p>
      <w:pPr>
        <w:spacing w:after="0" w:line="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4,324.5</w:t>
      </w:r>
    </w:p>
    <w:p>
      <w:pPr>
        <w:spacing w:after="0" w:line="9" w:lineRule="exact"/>
        <w:rPr>
          <w:sz w:val="20"/>
          <w:szCs w:val="20"/>
          <w:color w:val="auto"/>
        </w:rPr>
      </w:pPr>
    </w:p>
    <w:p>
      <w:pPr>
        <w:ind w:left="724" w:hanging="724"/>
        <w:spacing w:after="0"/>
        <w:tabs>
          <w:tab w:leader="none" w:pos="7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14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140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3">
            <w:col w:w="7480" w:space="720"/>
            <w:col w:w="1320" w:space="316"/>
            <w:col w:w="1404"/>
          </w:cols>
          <w:pgMar w:left="320" w:top="765" w:right="339" w:bottom="1440" w:gutter="0" w:footer="0" w:header="0"/>
          <w:type w:val="continuous"/>
        </w:sectPr>
      </w:pPr>
    </w:p>
    <w:p>
      <w:pPr>
        <w:ind w:left="520" w:right="40" w:hanging="512"/>
        <w:spacing w:after="0" w:line="256"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related to reportable segments largely include accounts receivable, inventories, property, plant and equipment, goodwill, intangible assets and certain limited other assets. All other items, except cash and cash equivalents and deferred income tax assets, are reflected in divested and other business assets. Accounts receivable and inventory are ascribed based on underlying sales or activity. Property, plant and equipment are attributed to a particular business segment based on that item’s primary user and reflect an allocation of certain corporate-shared assets. Intangible assets and goodwill are directly associated with a particular reporting unit and attributed on that basis.</w:t>
      </w:r>
    </w:p>
    <w:p>
      <w:pPr>
        <w:spacing w:after="0" w:line="23" w:lineRule="exact"/>
        <w:rPr>
          <w:rFonts w:ascii="Times New Roman" w:cs="Times New Roman" w:eastAsia="Times New Roman" w:hAnsi="Times New Roman"/>
          <w:sz w:val="17"/>
          <w:szCs w:val="17"/>
          <w:color w:val="auto"/>
        </w:rPr>
      </w:pPr>
    </w:p>
    <w:p>
      <w:pPr>
        <w:ind w:left="520" w:right="200" w:hanging="512"/>
        <w:spacing w:after="0" w:line="256"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divested and other business assets line item above reflects certain inventory retained by the Company related to continuing involvement in divested businesses pursuant to the Amphenol MSA, as discussed in Note 2, as well as other corporate assets. As of March 31, 2026, inventory of $7.0 million related to the OWN segment and DAS business unit and $4.1 million related to the Passive Optical Network (PON) business line within the CCS segment that was not divested with the sale of the CCS segment. As of December 31, 2025, inventory of $16.6 million related to the OWN segment and DAS business unit, $4.4 million related to the PON business line and $36.3 million related to corporate and other assets.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organizes its business segments based on the nature of products and services offered. Segment information is presented on the same basis that the Company’s Chief Executive Officer, who is the chief operating decision-maker, uses to manage its segments, evaluate financial results and make key operating decisions. 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financial metrics are used to view operating trends, perform analytical comparisons and benchmark performance between periods and among geographic regions and monitor budget-to-actual variances on a monthly basis. To manage operations and make decisions regarding resource allocations, the Company’s chief operating decision-maker is regularly provided and reviews expense information at a consolidated level for each segment. Each segment has a manager responsible for executing the Company’s strategic initiatives.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net sales, cost of sales, total operating expenses, adjusted EBITDA, depreciation expense and additions to property, plant and equipment by reportable segment for the three months ended March 31, 2026: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RUCKUS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60" w:type="dxa"/>
            <w:vAlign w:val="bottom"/>
            <w:gridSpan w:val="2"/>
            <w:shd w:val="clear" w:color="auto" w:fill="CCEC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173.4</w:t>
            </w:r>
          </w:p>
        </w:tc>
        <w:tc>
          <w:tcPr>
            <w:tcW w:w="12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1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sales</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1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Addback: Depreciation</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180" w:type="dxa"/>
            <w:vAlign w:val="bottom"/>
            <w:shd w:val="clear" w:color="auto" w:fill="CCECFF"/>
          </w:tcPr>
          <w:p>
            <w:pPr>
              <w:spacing w:after="0"/>
              <w:rPr>
                <w:sz w:val="18"/>
                <w:szCs w:val="18"/>
                <w:color w:val="auto"/>
              </w:rPr>
            </w:pPr>
          </w:p>
        </w:tc>
        <w:tc>
          <w:tcPr>
            <w:tcW w:w="1080" w:type="dxa"/>
            <w:vAlign w:val="bottom"/>
            <w:tcBorders>
              <w:top w:val="single" w:sz="8" w:color="auto"/>
            </w:tcBorders>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11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1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spacing w:after="0"/>
              <w:rPr>
                <w:sz w:val="18"/>
                <w:szCs w:val="18"/>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r>
      <w:tr>
        <w:trPr>
          <w:trHeight w:val="250"/>
        </w:trPr>
        <w:tc>
          <w:tcPr>
            <w:tcW w:w="4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18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bottom w:val="single" w:sz="8" w:color="CCECFF"/>
            </w:tcBorders>
            <w:shd w:val="clear" w:color="auto" w:fill="CCECFF"/>
          </w:tcPr>
          <w:p>
            <w:pPr>
              <w:spacing w:after="0"/>
              <w:rPr>
                <w:sz w:val="21"/>
                <w:szCs w:val="21"/>
                <w:color w:val="auto"/>
              </w:rPr>
            </w:pPr>
          </w:p>
        </w:tc>
        <w:tc>
          <w:tcPr>
            <w:tcW w:w="4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197"/>
        </w:trPr>
        <w:tc>
          <w:tcPr>
            <w:tcW w:w="4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60" w:type="dxa"/>
            <w:vAlign w:val="bottom"/>
            <w:gridSpan w:val="2"/>
            <w:shd w:val="clear" w:color="auto" w:fill="CCEC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C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2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630"/>
        </w:trPr>
        <w:tc>
          <w:tcPr>
            <w:tcW w:w="478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5"/>
        </w:trPr>
        <w:tc>
          <w:tcPr>
            <w:tcW w:w="4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net sales, cost of sales, total operating expenses, adjusted EBITDA, depreciation expense and additions to property, plant and equipment by reportable segment for the three months ended March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RUCKUS</w:t>
            </w:r>
          </w:p>
        </w:tc>
        <w:tc>
          <w:tcPr>
            <w:tcW w:w="3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4"/>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sales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Addback: Depreciation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7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7"/>
        </w:trPr>
        <w:tc>
          <w:tcPr>
            <w:tcW w:w="4580" w:type="dxa"/>
            <w:vAlign w:val="bottom"/>
            <w:tcBorders>
              <w:top w:val="single" w:sz="8" w:color="CCECFF"/>
            </w:tcBorders>
          </w:tcPr>
          <w:p>
            <w:pPr>
              <w:spacing w:after="0"/>
              <w:rPr>
                <w:sz w:val="17"/>
                <w:szCs w:val="17"/>
                <w:color w:val="auto"/>
              </w:rPr>
            </w:pPr>
          </w:p>
        </w:tc>
        <w:tc>
          <w:tcPr>
            <w:tcW w:w="740" w:type="dxa"/>
            <w:vAlign w:val="bottom"/>
            <w:tcBorders>
              <w:top w:val="single" w:sz="8" w:color="CCECFF"/>
            </w:tcBorders>
          </w:tcPr>
          <w:p>
            <w:pPr>
              <w:spacing w:after="0"/>
              <w:rPr>
                <w:sz w:val="17"/>
                <w:szCs w:val="17"/>
                <w:color w:val="auto"/>
              </w:rPr>
            </w:pPr>
          </w:p>
        </w:tc>
        <w:tc>
          <w:tcPr>
            <w:tcW w:w="140" w:type="dxa"/>
            <w:vAlign w:val="bottom"/>
            <w:tcBorders>
              <w:top w:val="single" w:sz="8" w:color="CCECFF"/>
            </w:tcBorders>
          </w:tcPr>
          <w:p>
            <w:pPr>
              <w:spacing w:after="0"/>
              <w:rPr>
                <w:sz w:val="17"/>
                <w:szCs w:val="17"/>
                <w:color w:val="auto"/>
              </w:rPr>
            </w:pPr>
          </w:p>
        </w:tc>
        <w:tc>
          <w:tcPr>
            <w:tcW w:w="90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6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1200" w:type="dxa"/>
            <w:vAlign w:val="bottom"/>
            <w:tcBorders>
              <w:top w:val="single" w:sz="8" w:color="CCECFF"/>
            </w:tcBorders>
          </w:tcPr>
          <w:p>
            <w:pPr>
              <w:spacing w:after="0"/>
              <w:rPr>
                <w:sz w:val="17"/>
                <w:szCs w:val="17"/>
                <w:color w:val="auto"/>
              </w:rPr>
            </w:pPr>
          </w:p>
        </w:tc>
        <w:tc>
          <w:tcPr>
            <w:tcW w:w="16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8" w:lineRule="exact"/>
        <w:rPr>
          <w:sz w:val="20"/>
          <w:szCs w:val="20"/>
          <w:color w:val="auto"/>
        </w:rPr>
      </w:pPr>
    </w:p>
    <w:p>
      <w:pPr>
        <w:ind w:left="520" w:right="20" w:hanging="512"/>
        <w:spacing w:after="0" w:line="256"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category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have been reallocated to the Company’s remaining segments and partially offset by income from the Amphenol TSA beginning in the first quarter of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Sales to customers located outside of the U.S. comprised 30.5% of total net sales for the three months ended March 31, 2026, compared to 32.0% of total net sales for the three months ended March 31, 2025. Sales by geographic region, based on the destination of product shipments or service provided,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8"/>
        </w:trPr>
        <w:tc>
          <w:tcPr>
            <w:tcW w:w="566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RUCKUS</w:t>
            </w: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Aurora</w:t>
            </w:r>
          </w:p>
        </w:tc>
        <w:tc>
          <w:tcPr>
            <w:tcW w:w="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18"/>
                <w:szCs w:val="18"/>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r>
      <w:tr>
        <w:trPr>
          <w:trHeight w:val="22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1160" w:type="dxa"/>
            <w:vAlign w:val="bottom"/>
            <w:shd w:val="clear" w:color="auto" w:fill="CCEC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shd w:val="clear" w:color="auto" w:fill="CCECFF"/>
          </w:tcPr>
          <w:p>
            <w:pPr>
              <w:spacing w:after="0"/>
              <w:rPr>
                <w:sz w:val="19"/>
                <w:szCs w:val="19"/>
                <w:color w:val="auto"/>
              </w:rPr>
            </w:pPr>
          </w:p>
        </w:tc>
      </w:tr>
      <w:tr>
        <w:trPr>
          <w:trHeight w:val="20"/>
        </w:trPr>
        <w:tc>
          <w:tcPr>
            <w:tcW w:w="5660" w:type="dxa"/>
            <w:vAlign w:val="bottom"/>
            <w:tcBorders>
              <w:top w:val="single" w:sz="8" w:color="CCECFF"/>
            </w:tcBorders>
            <w:shd w:val="clear" w:color="auto" w:fill="CCEC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r>
        <w:trPr>
          <w:trHeight w:val="393"/>
        </w:trPr>
        <w:tc>
          <w:tcPr>
            <w:tcW w:w="56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566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RUCKUS</w:t>
            </w: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Aurora</w:t>
            </w:r>
          </w:p>
        </w:tc>
        <w:tc>
          <w:tcPr>
            <w:tcW w:w="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60" w:type="dxa"/>
            <w:vAlign w:val="bottom"/>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tcPr>
          <w:p>
            <w:pPr>
              <w:spacing w:after="0"/>
              <w:rPr>
                <w:sz w:val="18"/>
                <w:szCs w:val="18"/>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16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C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r>
      <w:tr>
        <w:trPr>
          <w:trHeight w:val="22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1160" w:type="dxa"/>
            <w:vAlign w:val="bottom"/>
            <w:shd w:val="clear" w:color="auto" w:fill="CCEC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shd w:val="clear" w:color="auto" w:fill="CCECFF"/>
          </w:tcPr>
          <w:p>
            <w:pPr>
              <w:spacing w:after="0"/>
              <w:rPr>
                <w:sz w:val="19"/>
                <w:szCs w:val="19"/>
                <w:color w:val="auto"/>
              </w:rPr>
            </w:pPr>
          </w:p>
        </w:tc>
      </w:tr>
      <w:tr>
        <w:trPr>
          <w:trHeight w:val="20"/>
        </w:trPr>
        <w:tc>
          <w:tcPr>
            <w:tcW w:w="5660" w:type="dxa"/>
            <w:vAlign w:val="bottom"/>
            <w:tcBorders>
              <w:top w:val="single" w:sz="8" w:color="CCECFF"/>
            </w:tcBorders>
            <w:shd w:val="clear" w:color="auto" w:fill="CCEC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-1397000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-1379220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-1397000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-1379220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-1397000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COSTS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net pretax restructuring activity included in restructuring costs, net on the Condensed Consolidated Statements of Operations, by segment, was as follows:</w:t>
      </w:r>
    </w:p>
    <w:p>
      <w:pPr>
        <w:spacing w:after="0" w:line="115"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9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RUCKUS</w:t>
            </w:r>
          </w:p>
        </w:tc>
        <w:tc>
          <w:tcPr>
            <w:tcW w:w="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C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Aurora</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r>
      <w:tr>
        <w:trPr>
          <w:trHeight w:val="216"/>
        </w:trPr>
        <w:tc>
          <w:tcPr>
            <w:tcW w:w="5940" w:type="dxa"/>
            <w:vAlign w:val="bottom"/>
            <w:tcBorders>
              <w:bottom w:val="single" w:sz="8" w:color="CCECFF"/>
            </w:tcBorders>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8" w:lineRule="exact"/>
        <w:rPr>
          <w:sz w:val="20"/>
          <w:szCs w:val="20"/>
          <w:color w:val="auto"/>
        </w:rPr>
      </w:pPr>
    </w:p>
    <w:p>
      <w:pPr>
        <w:ind w:left="1560" w:hanging="504"/>
        <w:spacing w:after="0" w:line="256" w:lineRule="auto"/>
        <w:tabs>
          <w:tab w:leader="none" w:pos="1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line item above reflects general corporate restructuring costs that were previously allocated to the CCS segment, OWN segment and DAS business unit.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have been reallocated to the Company’s remaining segments and partially offset by income from the Amphenol TSA beginning in the first quarter of 2026.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liabilities were included in the Company’s Condensed Consolidated Balance Sheets as follows: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380" w:type="dxa"/>
            <w:vAlign w:val="bottom"/>
            <w:gridSpan w:val="2"/>
            <w:shd w:val="clear" w:color="auto" w:fill="CCEC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C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r>
      <w:tr>
        <w:trPr>
          <w:trHeight w:val="229"/>
        </w:trPr>
        <w:tc>
          <w:tcPr>
            <w:tcW w:w="31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restructuring liabilities</w:t>
            </w:r>
          </w:p>
        </w:tc>
        <w:tc>
          <w:tcPr>
            <w:tcW w:w="2380" w:type="dxa"/>
            <w:vAlign w:val="bottom"/>
            <w:gridSpan w:val="2"/>
            <w:shd w:val="clear" w:color="auto" w:fill="CCEC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CFF"/>
          </w:tcPr>
          <w:p>
            <w:pPr>
              <w:spacing w:after="0"/>
              <w:rPr>
                <w:sz w:val="19"/>
                <w:szCs w:val="19"/>
                <w:color w:val="auto"/>
              </w:rPr>
            </w:pPr>
          </w:p>
        </w:tc>
      </w:tr>
      <w:tr>
        <w:trPr>
          <w:trHeight w:val="20"/>
        </w:trPr>
        <w:tc>
          <w:tcPr>
            <w:tcW w:w="3180" w:type="dxa"/>
            <w:vAlign w:val="bottom"/>
            <w:tcBorders>
              <w:top w:val="single" w:sz="8" w:color="CCECFF"/>
            </w:tcBorders>
            <w:shd w:val="clear" w:color="auto" w:fill="CCECFF"/>
          </w:tcPr>
          <w:p>
            <w:pPr>
              <w:spacing w:after="0" w:line="20" w:lineRule="exact"/>
              <w:rPr>
                <w:sz w:val="1"/>
                <w:szCs w:val="1"/>
                <w:color w:val="auto"/>
              </w:rPr>
            </w:pPr>
          </w:p>
        </w:tc>
        <w:tc>
          <w:tcPr>
            <w:tcW w:w="1140" w:type="dxa"/>
            <w:vAlign w:val="bottom"/>
            <w:tcBorders>
              <w:top w:val="single" w:sz="8" w:color="CCECFF"/>
            </w:tcBorders>
            <w:shd w:val="clear" w:color="auto" w:fill="CCEC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-25400</wp:posOffset>
            </wp:positionV>
            <wp:extent cx="431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Vistance Restructuring Actions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2025, the Company substantially completed a restructuring program that was initiated in prior periods. As of December 31, 2025, the Company had accrued liabilities of $4.2 million related to this program, consisting of employee-related costs. These remaining obligations are expected to be settled in 2027.</w:t>
      </w:r>
    </w:p>
    <w:p>
      <w:pPr>
        <w:spacing w:after="0" w:line="1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the divestiture of the CCS segment that was completed on January 9, 2026, the Company initiated a new restructuring plan to right-size its cost structure and align operations with its revised business scope.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in the Company’s accrued restructuring liabilities for the periods presented. The roll forward reflects a combined presentation of the remaining liabilities associated with the prior restructuring program and liabilities recognized under restructuring plans initiated in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Employee-Related</w:t>
            </w:r>
          </w:p>
        </w:tc>
        <w:tc>
          <w:tcPr>
            <w:tcW w:w="300" w:type="dxa"/>
            <w:vAlign w:val="bottom"/>
          </w:tcPr>
          <w:p>
            <w:pPr>
              <w:spacing w:after="0"/>
              <w:rPr>
                <w:sz w:val="13"/>
                <w:szCs w:val="13"/>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expense,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paid</w:t>
            </w:r>
          </w:p>
        </w:tc>
        <w:tc>
          <w:tcPr>
            <w:tcW w:w="15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CFF"/>
          </w:tcPr>
          <w:p>
            <w:pPr>
              <w:spacing w:after="0"/>
              <w:rPr>
                <w:sz w:val="18"/>
                <w:szCs w:val="18"/>
                <w:color w:val="auto"/>
              </w:rPr>
            </w:pPr>
          </w:p>
        </w:tc>
        <w:tc>
          <w:tcPr>
            <w:tcW w:w="14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CFF"/>
            </w:tcBorders>
            <w:shd w:val="clear" w:color="auto" w:fill="CCECFF"/>
          </w:tcPr>
          <w:p>
            <w:pPr>
              <w:spacing w:after="0" w:line="20" w:lineRule="exact"/>
              <w:rPr>
                <w:sz w:val="1"/>
                <w:szCs w:val="1"/>
                <w:color w:val="auto"/>
              </w:rPr>
            </w:pPr>
          </w:p>
        </w:tc>
        <w:tc>
          <w:tcPr>
            <w:tcW w:w="15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expects to make cash payments of $7.0 million during the remainder of 2026 and $0.7 million during 2027 to settle these restructuring actions. Additional restructuring actions are expected to be identified, and the resulting charges and cash requirements could be material.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7, 2026, the Company declared a one-time special cash distribution (the Special Distribution). The Special Distribution of $10.00 per share was paid on April 27, 2026, to stockholders of record of the Company’s common stock at the close of business on April 17, 2026.</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on April 7, 2026, the Company entered into a revolving credit agreement with Citibank, N.A., as administrative agent and collateral agent, and the other lenders party thereto (the New Revolving Credit Agreement) providing for the New Revolving Credit Facility available to the Company and certain of its U.S. subsidiaries designated as co-borrowers therein, in an aggregate principal amount of up to $300.0 million (of which up to $100.0 million is available for letters of credit), subject to borrowing base availability.</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April 29, 2026, the Company’s board of directors approved a new share repurchase program, replacing the previous program, authorizing, but not obligating the repurchase of up to an aggregate of $100.0 million of the Company’s outstanding common stock. Repurchases under the stock repurchase programs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we might otherwise be precluded from doing so. The method, timing and amount of shares repurchased under the repurchase program will depend on several factors, including capital and liquidity requirements, market conditions and alternative uses for cash. The repurchase program does not have a set expiration date, but may be modified, suspended or discontinued at any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29, 2026, the Company entered into a definitive agreement (Agreement) with Belden Inc., a Delaware corporation (Belden), pursuant to which Belden has agreed to acquire the Company’s RUCKUS segment in exchange for $1.846 billion in cash, to be paid by Belden upon closing. The Company expects to incur approximately $150 million in transaction-related expenses and taxes. The sale is expected to close in the second half of 2026, subject to customary closing conditions, including receipt of applicable regulatory approvals. The RUCKUS segment provides wireless networks for enterprises and service providers.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divestiture of the RUCKUS segment is expected to meet the “held for sale” criteria per ASC 360-10 in the second quarter of 2026, and the Company has determined that it represents a strategic shift that will have a major effect on the Company’s operations. As such, the results of operations of the RUCKUS segment will be reclassified to discontinued operations per ASC 205-20 on the Condensed Consolidated Statements of Operations retrospectively for all periods presented beginning in the second quarter of 2026. In addition, the assets and liabilities of the RUCKUS segment will be presented separately on the Condensed Consolidated Balance Sheets for both current and prior periods beginning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narrative is an analysis of the three months ended March 31, 2026 compared to the three months ended March 31, 2025.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2025 (2025 Annual Report).</w:t>
      </w:r>
    </w:p>
    <w:p>
      <w:pPr>
        <w:spacing w:after="0" w:line="18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Following the divestiture of the CCS segment that was completed on January 9, 2026, we initiated a new restructuring plan to right-size its cost structure and align operations with its revised business scope. As a result of this transaction, the new restructuring plan and our prior transformation initiative, we incurred $9.6 million and $11.2 million of net restructuring costs and $10.7 million and $4.3 million of transaction, transformation and integration costs during the three months ended March 31, 2026 and 2025, respectively. We expect to continue to incur such costs during 2026 as we continue executing on our current transformation initiative, and the resulting charges and cash requirements could be material.</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divestiture of the CCS segment, we completed the divestitures of our Home business, Outdoor Wireless Networks (OWN) segment and Distributed Antenna Systems (DAS) business unit during 2025 and 2024. Unless otherwise noted, the following discussions relate solely to our continuing operations. For further discussion of the discontinued operations related to our CCS segment, OWN segment, DAS business unit and Home business, see Note 2 in the Notes to Consolidated Financial Statements included elsewhere in the Annual Report on Form 10-K.</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continuing operations results include general corporate costs that were previously allocated to the CCS segment, OWN segment and DAS business unit. These indirect costs, reflected on the corporate and other line item within our segment information below, are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our transition service agreement with Amphenol Corporation (Amphenol TSA). The corporate and other costs related to the CCS segment have been reallocated to our remaining segments and partially offset by income from our Amphenol TSA beginning in the first quarter of 2026.</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below we refer to certain supplementary Core financial measures, which reflect the results of the RUCKUS and Aurora segments, in the aggregate, and exclude general corporate costs that were previously allocated to the CCS segment, OWN segment and DAS business unit, since these costs were not directly attributable to the discontinued operations. The Core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the aggregation of our Core financial measures.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our critical accounting policies as disclosed in our 2025 Annual Report.</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MARCH 31, 2026 WITH THE THREE MONTHS ENDED MARCH 31, 2025</w:t>
      </w:r>
    </w:p>
    <w:p>
      <w:pPr>
        <w:spacing w:after="0" w:line="44"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1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70"/>
              </w:rPr>
              <w:t>(dollars</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3"/>
              </w:rPr>
              <w:t>except</w:t>
            </w: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income (loss)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 (2)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11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earnings from continuing operations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share</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2" w:lineRule="exact"/>
        <w:rPr>
          <w:sz w:val="20"/>
          <w:szCs w:val="20"/>
          <w:color w:val="auto"/>
        </w:rPr>
      </w:pPr>
    </w:p>
    <w:p>
      <w:pPr>
        <w:ind w:left="540" w:right="20" w:hanging="532"/>
        <w:spacing w:after="0" w:line="265" w:lineRule="auto"/>
        <w:tabs>
          <w:tab w:leader="none" w:pos="5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 Beginning in the first quarter of 2025, these costs related to the OWN segment and DAS business unit have been reallocated to our remaining segments and partially offset by income from our Amphenol TSA. These costs related to the CCS segment have been reallocated to our remaining segments and partially offset by income from our Amphenol TSA beginning in the first quarter of 2026. See “Segment Results” section below for the aggregation of our Core financial measures.</w:t>
      </w:r>
    </w:p>
    <w:p>
      <w:pPr>
        <w:spacing w:after="0" w:line="17" w:lineRule="exact"/>
        <w:rPr>
          <w:rFonts w:ascii="Times New Roman" w:cs="Times New Roman" w:eastAsia="Times New Roman" w:hAnsi="Times New Roman"/>
          <w:sz w:val="17"/>
          <w:szCs w:val="17"/>
          <w:color w:val="auto"/>
        </w:rPr>
      </w:pPr>
    </w:p>
    <w:p>
      <w:pPr>
        <w:ind w:left="540" w:right="300" w:hanging="53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 in this Management’s Discussion and Analysis of Financial Condition and Results of Operations,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18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(dollars</w:t>
            </w:r>
          </w:p>
        </w:tc>
        <w:tc>
          <w:tcPr>
            <w:tcW w:w="380" w:type="dxa"/>
            <w:vAlign w:val="bottom"/>
            <w:vMerge w:val="continue"/>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1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920" w:type="dxa"/>
            <w:vAlign w:val="bottom"/>
            <w:gridSpan w:val="2"/>
            <w:shd w:val="clear" w:color="auto" w:fill="CCEC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8"/>
                <w:szCs w:val="18"/>
                <w:color w:val="auto"/>
                <w:w w:val="93"/>
              </w:rPr>
              <w:t>388.1</w:t>
            </w:r>
          </w:p>
        </w:tc>
        <w:tc>
          <w:tcPr>
            <w:tcW w:w="86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160" w:type="dxa"/>
            <w:vAlign w:val="bottom"/>
            <w:gridSpan w:val="3"/>
            <w:shd w:val="clear" w:color="auto" w:fill="CCECFF"/>
          </w:tcPr>
          <w:p>
            <w:pPr>
              <w:ind w:left="16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Domestic</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264.1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8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04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8"/>
                <w:szCs w:val="18"/>
                <w:color w:val="auto"/>
                <w:w w:val="93"/>
              </w:rPr>
              <w:t>124.0</w:t>
            </w: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980" w:type="dxa"/>
            <w:vAlign w:val="bottom"/>
            <w:gridSpan w:val="2"/>
            <w:shd w:val="clear" w:color="auto" w:fill="CCECFF"/>
          </w:tcPr>
          <w:p>
            <w:pPr>
              <w:ind w:left="164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March 31, 2026 increased $83.7 million, or 21.6% compared to the prior year period primarily driven by increased sales volumes partially offset by lower pricing. The increase in net sales for the three months ended March 31, 2026 was driven by higher net sales of $73.4 million in the Aurora segment and $10.3 million in the RUCKUS segment.</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a regional perspective, for the three months ended March 31, 2026 compared to the prior year period, net sales increased in the U.S. by $63.6 million, the Europe, Middle East and Africa (EMEA) region by $19.3 million and the Asia Pacific (APAC) region by $14.4 million, but decreased in Canada by $9.0 million and the Caribbean and Latin America (CALA) region by $4.6 million. Net sales to customers located outside of the U.S. comprised 30.5% of total net sales for the three months ended March 31, 2026 compared to 32.0% for the three months ended March 31, 2025. Foreign exchange rate changes did not have a material impact on our net sales during the three months ended March 31, 2026 compared to the prior year period. For additional information on regional sales by segment, see “Segment Results” below and Note 6 in the Notes to Unaudited Condensed Consolidated Financial Statements included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Gross profit, TSA income, SG&amp;A expense and R&amp;D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40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400" w:type="dxa"/>
            <w:vAlign w:val="bottom"/>
            <w:shd w:val="clear" w:color="auto" w:fill="CCECFF"/>
          </w:tcPr>
          <w:p>
            <w:pPr>
              <w:spacing w:after="0"/>
              <w:rPr>
                <w:sz w:val="18"/>
                <w:szCs w:val="18"/>
                <w:color w:val="auto"/>
              </w:rPr>
            </w:pPr>
          </w:p>
        </w:tc>
        <w:tc>
          <w:tcPr>
            <w:tcW w:w="480" w:type="dxa"/>
            <w:vAlign w:val="bottom"/>
            <w:shd w:val="clear" w:color="auto" w:fill="CCEC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CECFF"/>
          </w:tcPr>
          <w:p>
            <w:pPr>
              <w:spacing w:after="0"/>
              <w:rPr>
                <w:sz w:val="18"/>
                <w:szCs w:val="18"/>
                <w:color w:val="auto"/>
              </w:rPr>
            </w:pPr>
          </w:p>
        </w:tc>
        <w:tc>
          <w:tcPr>
            <w:tcW w:w="15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3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w:t>
            </w:r>
          </w:p>
        </w:tc>
        <w:tc>
          <w:tcPr>
            <w:tcW w:w="48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TSA income</w:t>
            </w: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3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4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CFF"/>
          </w:tcPr>
          <w:p>
            <w:pPr>
              <w:spacing w:after="0"/>
              <w:rPr>
                <w:sz w:val="18"/>
                <w:szCs w:val="18"/>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3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480" w:type="dxa"/>
            <w:vAlign w:val="bottom"/>
          </w:tcPr>
          <w:p>
            <w:pPr>
              <w:spacing w:after="0"/>
              <w:rPr>
                <w:sz w:val="18"/>
                <w:szCs w:val="18"/>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28.1%</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R&amp;D expense</w:t>
            </w: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3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tcPr>
          <w:p>
            <w:pPr>
              <w:spacing w:after="0"/>
              <w:rPr>
                <w:sz w:val="20"/>
                <w:szCs w:val="20"/>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(net sales less cost of sales)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Gross profit increased by $36.1 million for the three months ended March 31, 2026 compared to the prior year period primarily due to increased net sales volumes and lower input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 agreement income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Transition service agreement (TSA) income is related to the TSA we entered into with Amphenol in conjunction with the closing of the transactions to divest of the CCS segment, OWN segment and DAS business unit. Under the TSAs, we provide and receive certain post-closing support on a transitional basis. The TSAs have varying terms for duration, depending on the services provided thereunder, and provide for options to extend. For additional information related to the TSAs, see Note 2 in the Notes to Unaudited Condensed Consolidated Financial Statements included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selling, general and administrative (SG&amp;A) expense increased by $0.3 million, but decreased as a percentage of sales, compared to the prior year period. The increase was primarily due to increased variable incentive compensation expense of $2.2 million and higher transaction costs of $6.4 million, mostly offset by a reduction in legal expense of $6.6 million and various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for three months ended March 31, 2026 decreased by $8.0 million due to lower spending within both the RUCKUS and Aurora segments, compared to the prior year period. R&amp;D activities generally involve ensuring that our products are capable of meeting the evolving technological needs of our customers, bringing new products to market and modifying existing products to better serve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purchased intangible assets and Restructuring costs,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2"/>
                <w:szCs w:val="12"/>
                <w:color w:val="auto"/>
              </w:rPr>
            </w:pPr>
          </w:p>
        </w:tc>
        <w:tc>
          <w:tcPr>
            <w:tcW w:w="1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2"/>
                <w:szCs w:val="12"/>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360" w:type="dxa"/>
            <w:vAlign w:val="bottom"/>
            <w:vMerge w:val="continue"/>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58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0" w:type="dxa"/>
            <w:vAlign w:val="bottom"/>
            <w:gridSpan w:val="2"/>
            <w:shd w:val="clear" w:color="auto" w:fill="CCEC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gridSpan w:val="2"/>
            <w:shd w:val="clear" w:color="auto" w:fill="CCEC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amortization of purchased intangible assets was lower compared to the prior year period because certain of our intangible assets became fully amortized.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net</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net restructuring costs recorded in the three months ended March 31, 2026 were primarily related to our new restructuring plan to right-size our cost structure and align operations with our revised business scope. For the three months ended March 31, 2026, our net restructuring costs were $9.6 million and we paid $6.1 million to settle restructuring liabilities. We expect to make cash payments of $7.0 million in the remainder of 2026 and $0.7 million during 2027 to settle our restructuring actions. Additional restructuring actions related to our restructuring efforts are expected to be identified, and the resulting charges and cash requirements could be material.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2"/>
                <w:szCs w:val="12"/>
                <w:color w:val="auto"/>
              </w:rPr>
            </w:pPr>
          </w:p>
        </w:tc>
        <w:tc>
          <w:tcPr>
            <w:tcW w:w="1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(dollars</w:t>
            </w:r>
          </w:p>
        </w:tc>
        <w:tc>
          <w:tcPr>
            <w:tcW w:w="260" w:type="dxa"/>
            <w:vAlign w:val="bottom"/>
            <w:gridSpan w:val="2"/>
            <w:vMerge w:val="continue"/>
          </w:tcPr>
          <w:p>
            <w:pPr>
              <w:spacing w:after="0"/>
              <w:rPr>
                <w:sz w:val="12"/>
                <w:szCs w:val="12"/>
                <w:color w:val="auto"/>
              </w:rPr>
            </w:pPr>
          </w:p>
        </w:tc>
        <w:tc>
          <w:tcPr>
            <w:tcW w:w="10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880" w:type="dxa"/>
            <w:vAlign w:val="bottom"/>
            <w:shd w:val="clear" w:color="auto" w:fill="CCEC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shd w:val="clear" w:color="auto" w:fill="CCEC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118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CFF"/>
          </w:tcPr>
          <w:p>
            <w:pPr>
              <w:spacing w:after="0"/>
              <w:rPr>
                <w:sz w:val="18"/>
                <w:szCs w:val="18"/>
                <w:color w:val="auto"/>
              </w:rPr>
            </w:pPr>
          </w:p>
        </w:tc>
        <w:tc>
          <w:tcPr>
            <w:tcW w:w="1560" w:type="dxa"/>
            <w:vAlign w:val="bottom"/>
            <w:shd w:val="clear" w:color="auto" w:fill="CCECFF"/>
          </w:tcPr>
          <w:p>
            <w:pPr>
              <w:ind w:left="126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0"/>
                <w:szCs w:val="20"/>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months ended March 31, 2026 compared to the prior year period was primarily driven by certain unhedged currencies.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income (expense), net for the three months ended March 31, 2026 compared to the prior year period was not significant.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Interest income and Income taxes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0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580" w:type="dxa"/>
            <w:vAlign w:val="bottom"/>
          </w:tcPr>
          <w:p>
            <w:pPr>
              <w:spacing w:after="0"/>
              <w:rPr>
                <w:sz w:val="12"/>
                <w:szCs w:val="12"/>
                <w:color w:val="auto"/>
              </w:rPr>
            </w:pPr>
          </w:p>
        </w:tc>
        <w:tc>
          <w:tcPr>
            <w:tcW w:w="1320" w:type="dxa"/>
            <w:vAlign w:val="bottom"/>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4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5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CFF"/>
          </w:tcPr>
          <w:p>
            <w:pPr>
              <w:spacing w:after="0"/>
              <w:rPr>
                <w:sz w:val="18"/>
                <w:szCs w:val="18"/>
                <w:color w:val="auto"/>
              </w:rPr>
            </w:pP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80" w:lineRule="exact"/>
        <w:rPr>
          <w:sz w:val="20"/>
          <w:szCs w:val="20"/>
          <w:color w:val="auto"/>
        </w:rPr>
      </w:pPr>
    </w:p>
    <w:p>
      <w:pPr>
        <w:jc w:val="both"/>
        <w:ind w:right="180"/>
        <w:spacing w:after="0" w:line="236" w:lineRule="exact"/>
        <w:rPr>
          <w:sz w:val="20"/>
          <w:szCs w:val="20"/>
          <w:color w:val="auto"/>
        </w:rPr>
      </w:pPr>
      <w:r>
        <w:rPr>
          <w:rFonts w:ascii="Times New Roman" w:cs="Times New Roman" w:eastAsia="Times New Roman" w:hAnsi="Times New Roman"/>
          <w:sz w:val="18"/>
          <w:szCs w:val="18"/>
          <w:color w:val="auto"/>
        </w:rPr>
        <w:t>In connection with the sale of the CCS segment that was completed on January 9, 2026, we repaid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debt at closing, and all interest expense was reported within discontinued operations. However, we expect to incur interest expense in the future. The increase in interest income compared to the prior year period was primarily driven by interest earned on the net proceeds related to the sale of the CCS segment.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recognized an income tax benefit of $185.2 million on pretax income of $46.5 million. Our income taxes were less than the statutory rate of 21.0% for the three months ended March 31, 2026, primarily due to $196.6 million of tax benefit recognized in the quarter associated with a tax planning strategy.</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recognized an income tax benefit of $357.5 million on a pretax loss of $16.4. Our income taxes for the three months ended March 31, 2025, were favorably impacted by $361.1 million of tax benefit recognized in the quarter associated with a tax planning strategy, as well as the tax benefit related to federal tax credits. Offsetting these benefits were the unfavorable impacts of $29.6 million of an additional valuation allowance recorded in the quarter related to current year federal and state interest limitation carryforwards and U.S. anti-deferral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RUCKUS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Aurora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income (loss) by segment:</w:t>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RUCKUS</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Aurora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2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920" w:type="dxa"/>
            <w:vAlign w:val="bottom"/>
            <w:tcBorders>
              <w:top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-1122680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-848360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-539750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-265430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60"/>
          </w:cols>
          <w:pgMar w:left="320" w:top="1197"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4080" w:type="dxa"/>
            <w:vAlign w:val="bottom"/>
            <w:shd w:val="clear" w:color="auto" w:fill="CCECFF"/>
          </w:tcPr>
          <w:p>
            <w:pPr>
              <w:ind w:left="120"/>
              <w:spacing w:after="0" w:line="222" w:lineRule="exact"/>
              <w:rPr>
                <w:sz w:val="20"/>
                <w:szCs w:val="20"/>
                <w:color w:val="auto"/>
              </w:rPr>
            </w:pPr>
            <w:r>
              <w:rPr>
                <w:rFonts w:ascii="Times New Roman" w:cs="Times New Roman" w:eastAsia="Times New Roman" w:hAnsi="Times New Roman"/>
                <w:sz w:val="18"/>
                <w:szCs w:val="18"/>
                <w:color w:val="auto"/>
              </w:rPr>
              <w:t xml:space="preserve">Core operating income (loss) </w:t>
            </w:r>
            <w:r>
              <w:rPr>
                <w:rFonts w:ascii="Times New Roman" w:cs="Times New Roman" w:eastAsia="Times New Roman" w:hAnsi="Times New Roman"/>
                <w:sz w:val="24"/>
                <w:szCs w:val="24"/>
                <w:color w:val="auto"/>
                <w:vertAlign w:val="superscript"/>
              </w:rPr>
              <w:t>(1)</w:t>
            </w:r>
          </w:p>
        </w:tc>
        <w:tc>
          <w:tcPr>
            <w:tcW w:w="300" w:type="dxa"/>
            <w:vAlign w:val="bottom"/>
            <w:tcBorders>
              <w:top w:val="single" w:sz="8" w:color="auto"/>
            </w:tcBorders>
            <w:shd w:val="clear" w:color="auto" w:fill="CCECFF"/>
          </w:tcPr>
          <w:p>
            <w:pPr>
              <w:spacing w:after="0"/>
              <w:rPr>
                <w:sz w:val="19"/>
                <w:szCs w:val="19"/>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8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80" w:type="dxa"/>
            <w:vAlign w:val="bottom"/>
            <w:tcBorders>
              <w:top w:val="single" w:sz="8" w:color="auto"/>
            </w:tcBorders>
            <w:shd w:val="clear" w:color="auto" w:fill="CCECFF"/>
          </w:tcPr>
          <w:p>
            <w:pPr>
              <w:spacing w:after="0"/>
              <w:rPr>
                <w:sz w:val="19"/>
                <w:szCs w:val="19"/>
                <w:color w:val="auto"/>
              </w:rPr>
            </w:pP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3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C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CCECFF"/>
            </w:tcBorders>
          </w:tcPr>
          <w:p>
            <w:pPr>
              <w:spacing w:after="0"/>
              <w:rPr>
                <w:sz w:val="17"/>
                <w:szCs w:val="17"/>
                <w:color w:val="auto"/>
              </w:rPr>
            </w:pPr>
          </w:p>
        </w:tc>
        <w:tc>
          <w:tcPr>
            <w:tcW w:w="30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20" w:type="dxa"/>
            <w:vAlign w:val="bottom"/>
            <w:tcBorders>
              <w:top w:val="single" w:sz="8" w:color="CCECFF"/>
            </w:tcBorders>
          </w:tcPr>
          <w:p>
            <w:pPr>
              <w:spacing w:after="0"/>
              <w:rPr>
                <w:sz w:val="17"/>
                <w:szCs w:val="17"/>
                <w:color w:val="auto"/>
              </w:rPr>
            </w:pPr>
          </w:p>
        </w:tc>
        <w:tc>
          <w:tcPr>
            <w:tcW w:w="760" w:type="dxa"/>
            <w:vAlign w:val="bottom"/>
            <w:tcBorders>
              <w:top w:val="single" w:sz="8" w:color="CCECFF"/>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CCECFF"/>
            </w:tcBorders>
          </w:tcPr>
          <w:p>
            <w:pPr>
              <w:spacing w:after="0"/>
              <w:rPr>
                <w:sz w:val="17"/>
                <w:szCs w:val="17"/>
                <w:color w:val="auto"/>
              </w:rPr>
            </w:pPr>
          </w:p>
        </w:tc>
        <w:tc>
          <w:tcPr>
            <w:tcW w:w="36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3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RUCKUS </w:t>
            </w:r>
            <w:r>
              <w:rPr>
                <w:rFonts w:ascii="Times New Roman" w:cs="Times New Roman" w:eastAsia="Times New Roman" w:hAnsi="Times New Roman"/>
                <w:sz w:val="24"/>
                <w:szCs w:val="24"/>
                <w:color w:val="auto"/>
                <w:vertAlign w:val="superscript"/>
              </w:rPr>
              <w:t>(3)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CFF"/>
            </w:tcBorders>
            <w:shd w:val="clear" w:color="auto" w:fill="CCEC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Aurora </w:t>
            </w:r>
            <w:r>
              <w:rPr>
                <w:rFonts w:ascii="Times New Roman" w:cs="Times New Roman" w:eastAsia="Times New Roman" w:hAnsi="Times New Roman"/>
                <w:sz w:val="24"/>
                <w:szCs w:val="24"/>
                <w:color w:val="auto"/>
                <w:vertAlign w:val="superscript"/>
              </w:rPr>
              <w:t>(3)</w:t>
            </w:r>
          </w:p>
        </w:tc>
        <w:tc>
          <w:tcPr>
            <w:tcW w:w="30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1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20" w:type="dxa"/>
            <w:vAlign w:val="bottom"/>
            <w:tcBorders>
              <w:bottom w:val="single" w:sz="8" w:color="CCECFF"/>
            </w:tcBorders>
            <w:shd w:val="clear" w:color="auto" w:fill="CCECFF"/>
          </w:tcPr>
          <w:p>
            <w:pPr>
              <w:spacing w:after="0"/>
              <w:rPr>
                <w:sz w:val="18"/>
                <w:szCs w:val="18"/>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 (3)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C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(15.9)</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76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0" w:type="dxa"/>
            <w:vAlign w:val="bottom"/>
            <w:shd w:val="clear" w:color="auto" w:fill="CCECFF"/>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80" w:type="dxa"/>
            <w:vAlign w:val="bottom"/>
          </w:tcPr>
          <w:p>
            <w:pPr>
              <w:ind w:left="240"/>
              <w:spacing w:after="0" w:line="21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4"/>
                <w:szCs w:val="24"/>
                <w:color w:val="auto"/>
                <w:vertAlign w:val="superscript"/>
              </w:rPr>
              <w:t>(3)</w:t>
            </w:r>
          </w:p>
        </w:tc>
        <w:tc>
          <w:tcPr>
            <w:tcW w:w="3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-1139190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-1122045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-1139190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-1122045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-1139190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-1122045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-565150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-565150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-565150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-282575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-282575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-282575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4" w:lineRule="exact"/>
        <w:rPr>
          <w:sz w:val="20"/>
          <w:szCs w:val="20"/>
          <w:color w:val="auto"/>
        </w:rPr>
      </w:pPr>
    </w:p>
    <w:p>
      <w:pPr>
        <w:ind w:left="520" w:right="40" w:hanging="512"/>
        <w:spacing w:after="0" w:line="290" w:lineRule="auto"/>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w:t>
      </w:r>
    </w:p>
    <w:p>
      <w:pPr>
        <w:ind w:left="520" w:right="20" w:hanging="512"/>
        <w:spacing w:after="0" w:line="256" w:lineRule="auto"/>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line item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have been reallocated to our remaining segments and partially offset by income from the Amphenol TSA beginning in the first quarter of 2026.</w:t>
      </w:r>
    </w:p>
    <w:p>
      <w:pPr>
        <w:spacing w:after="0" w:line="27"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 within this 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RUCKUS Segment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RUCKUS segment net sales increased compared to the prior year period primarily due to higher sales volumes, partially offset by lower pricing. From a regional perspective, for the three months ended March 31, 2026, RUCKUS segment net sales increased in the EMEA region by $14.8 million, the APAC region by $13.2 million and the CALA region by $2.2 million, but decreased in the U.S. by $19.6 million and Canada by $0.3 million, compared to the prior year period. Foreign exchange rate changes did not have a material impact on our RUCKUS segment net sales during the three months ended March 31, 2026.</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RUCKUS segment operating income and adjusted EBITDA increased compared to the prior year period primarily due to higher sales volumes and lower R&amp;D costs, partially offset by lower pricing and higher SG&amp;A and input costs. RUCKUS segment operating income for the three months ended March 31, 2026, was unfavorably impacted by increases in transaction, transformation and integration costs of $7.4 million and restructuring costs of $2.9 million. Transaction, transformation and integration costs and restructuring costs are not reflected in adjusted EBITDA. See “Reconciliation of Segment Adjusted EBITDA”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Aurora</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net sales increased in the Aurora segment compared to the prior year period primarily due to higher sales volumes in Access Technologies, partially offset by lower pricing. From a regional perspective, for the three months ended March 31, 2026, Aurora segment net sales increased in the U.S. by $83.2 million, the EMEA region by $4.5 million and the APAC region by $1.2 million, but decreased in Canada by $8.7 million and the CALA region by $6.8 million, compared to the prior year period. Foreign exchange rate changes did not have a material impact on our Aurora segment net sales during the three months ended March 31, 2026.</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Aurora segment operating income and adjusted EBITDA increased compared to the prior year period primarily due to higher sales volumes and lower R&amp;D costs, partially offset by lower pricing, higher SG&amp;A and input costs and unfavorable product mix. For the three months ended March 31, 2026, Aurora segment operating income was favorably impacted by reductions in amortization expense of $3.4 million, restructuring costs of $3.3 million and transaction, transformation and integration costs of $1.8 million. Amortization expense, restructuring costs and transaction, transformation and integration costs are not reflected in adjusted EBITDA. See “Reconciliation of Segment Adjusted EBITDA” below.</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measures of our liquidity and capital resources (in millions, except percentage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r>
      <w:tr>
        <w:trPr>
          <w:trHeight w:val="173"/>
        </w:trPr>
        <w:tc>
          <w:tcPr>
            <w:tcW w:w="4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452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9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4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   1,587.2</w:t>
            </w:r>
          </w:p>
        </w:tc>
        <w:tc>
          <w:tcPr>
            <w:tcW w:w="22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172.0  %</w:t>
            </w:r>
          </w:p>
        </w:tc>
      </w:tr>
      <w:tr>
        <w:trPr>
          <w:trHeight w:val="178"/>
        </w:trPr>
        <w:tc>
          <w:tcPr>
            <w:tcW w:w="4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Working capital, net of assets and liabilities held for</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54"/>
        </w:trPr>
        <w:tc>
          <w:tcPr>
            <w:tcW w:w="452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excluding cash and cash equivalents</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360" w:type="dxa"/>
            <w:vAlign w:val="bottom"/>
          </w:tcPr>
          <w:p>
            <w:pPr>
              <w:spacing w:after="0"/>
              <w:rPr>
                <w:sz w:val="22"/>
                <w:szCs w:val="22"/>
                <w:color w:val="auto"/>
              </w:rPr>
            </w:pPr>
          </w:p>
        </w:tc>
      </w:tr>
      <w:tr>
        <w:trPr>
          <w:trHeight w:val="216"/>
        </w:trPr>
        <w:tc>
          <w:tcPr>
            <w:tcW w:w="452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Availability under Prior Revolving Credit Facility </w:t>
            </w:r>
            <w:r>
              <w:rPr>
                <w:rFonts w:ascii="Times New Roman" w:cs="Times New Roman" w:eastAsia="Times New Roman" w:hAnsi="Times New Roman"/>
                <w:sz w:val="24"/>
                <w:szCs w:val="24"/>
                <w:color w:val="auto"/>
                <w:vertAlign w:val="superscript"/>
              </w:rPr>
              <w:t>(3)</w:t>
            </w:r>
          </w:p>
        </w:tc>
        <w:tc>
          <w:tcPr>
            <w:tcW w:w="6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32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(584.5)</w:t>
            </w:r>
          </w:p>
        </w:tc>
        <w:tc>
          <w:tcPr>
            <w:tcW w:w="13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(7,260.2)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52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capitalization </w:t>
            </w:r>
            <w:r>
              <w:rPr>
                <w:rFonts w:ascii="Times New Roman" w:cs="Times New Roman" w:eastAsia="Times New Roman" w:hAnsi="Times New Roman"/>
                <w:sz w:val="24"/>
                <w:szCs w:val="24"/>
                <w:color w:val="auto"/>
                <w:vertAlign w:val="superscript"/>
              </w:rPr>
              <w:t>(4)</w:t>
            </w:r>
          </w:p>
        </w:tc>
        <w:tc>
          <w:tcPr>
            <w:tcW w:w="6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7,534.8</w:t>
            </w:r>
          </w:p>
        </w:tc>
        <w:tc>
          <w:tcPr>
            <w:tcW w:w="32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(2,940.3)</w:t>
            </w:r>
          </w:p>
        </w:tc>
        <w:tc>
          <w:tcPr>
            <w:tcW w:w="13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(39.0)</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as a percentage of total capitalization</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96.4%</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79" w:lineRule="exact"/>
        <w:rPr>
          <w:sz w:val="20"/>
          <w:szCs w:val="20"/>
          <w:color w:val="auto"/>
        </w:rPr>
      </w:pPr>
    </w:p>
    <w:p>
      <w:pPr>
        <w:ind w:left="520" w:hanging="466"/>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and cash equivalents in assets held for sale of $168.4 million as of December 31, 2025.</w:t>
      </w:r>
    </w:p>
    <w:p>
      <w:pPr>
        <w:spacing w:after="0" w:line="27" w:lineRule="exact"/>
        <w:rPr>
          <w:rFonts w:ascii="Times New Roman" w:cs="Times New Roman" w:eastAsia="Times New Roman" w:hAnsi="Times New Roman"/>
          <w:sz w:val="18"/>
          <w:szCs w:val="18"/>
          <w:color w:val="auto"/>
        </w:rPr>
      </w:pPr>
    </w:p>
    <w:p>
      <w:pPr>
        <w:ind w:left="520" w:right="60" w:hanging="466"/>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net of assets and liabilities held for sale and consists of current assets of $3,323.8 million less current liabilities of $498.6 million as of March 31, 2026 and current assets of $1,471.7 million less current liabilities of $711.6 million as of December 31, 2025.</w:t>
      </w:r>
    </w:p>
    <w:p>
      <w:pPr>
        <w:ind w:left="520" w:right="20" w:hanging="466"/>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the CCS segment on January 9, 2026, on the closing date, we (i) repaid in full all outstanding indebtedness using a portion of the proceeds from the transaction and terminated all outstanding commitments under each of our Prior Revolving Credit Agreement dated as of April 4, 2019, and our Prior Term Loan Credit Agreement, dated as of December 17, 2024 and (ii) satisfied and discharged the indentures governing the Notes and redeemed all outstanding Notes on January 26, 2026 using a portion of the proceeds from the transaction.</w:t>
      </w:r>
    </w:p>
    <w:p>
      <w:pPr>
        <w:spacing w:after="0" w:line="1" w:lineRule="exact"/>
        <w:rPr>
          <w:rFonts w:ascii="Times New Roman" w:cs="Times New Roman" w:eastAsia="Times New Roman" w:hAnsi="Times New Roman"/>
          <w:sz w:val="18"/>
          <w:szCs w:val="18"/>
          <w:color w:val="auto"/>
        </w:rPr>
      </w:pPr>
    </w:p>
    <w:p>
      <w:pPr>
        <w:ind w:left="520" w:right="220" w:hanging="466"/>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stockholders’ deficit for both periods presented, and also includes long-term debt and Series A Convertible Preferred Stock (Convertible Preferred Stock) as of December 31, 2025.</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on a short-term basis are cash and cash equivalents and cash flows provided by operations. On a long-term basis, our potential sources of liquidity also include raising capital through the issuance of equity and/or debt. On April 7, 2026, we entered into a revolving credit agreement providing for a senior secured asset-based revolving credit facility (the New Revolving Credit Facility) available to the Company and certain of our U.S. subsidiaries designated as co-borrowers therein, in an aggregate principal amount of up to $300.0 million, subject to borrowing base availability. See Note 8 for further discussion of the New Revolving Credit Facility.</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primary uses of liquidity include working capital requirements, capital expenditures, business separation transaction costs, transformation costs, restructuring costs, litigation settlements, income tax payments and other contractual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40"/>
        <w:spacing w:after="0" w:line="254" w:lineRule="auto"/>
        <w:rPr>
          <w:sz w:val="20"/>
          <w:szCs w:val="20"/>
          <w:color w:val="auto"/>
        </w:rPr>
      </w:pPr>
      <w:r>
        <w:rPr>
          <w:rFonts w:ascii="Times New Roman" w:cs="Times New Roman" w:eastAsia="Times New Roman" w:hAnsi="Times New Roman"/>
          <w:sz w:val="18"/>
          <w:szCs w:val="18"/>
          <w:color w:val="auto"/>
        </w:rPr>
        <w:t>We currently believe that our existing cash, cash equivalents and cash flows from operations will be sufficient to meet our presently anticipated future cash needs. However, we may be required to obtain financing in the future to address our liquidity needs, and, subject to market conditions, we may from time to time seek to amend, refinance, restructure, exchange or repurchase our outstanding indebtedness and/or raise equity or other financing. Any debt we incur in the future may have terms (including cash interest rate, financial covenants and covenants limiting our operating flexibility or ability to obtain financings) that are not favorable to us, and any such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or any future amendment, refinancing, restructuring, exchange or repurchases could have a material and adverse effect on our results of operations, cash flows, financial condition and liquidity.</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$1,587.2 million during the three months ended March 31, 2026 as described under the Cash Flow Overview section below. As of March 31, 2026, approximately 2% of our cash and cash equivalents were held outside the U.S.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Working capital, net of assets and liabilities held for sale and excluding cash and cash equivalents, increased during the three months ended March 31, 2026 compared to the fourth quarter of 2025 primarily due to a decrease in accounts payable and other liabilities. The net decrease in total capitalization during the three months ended March 31, 2026 is primarily driven by the repayment of debt in connection with the sale of the CCS segment, partially offset by net income reflected for the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Cash Flow Overview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gridSpan w:val="3"/>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7"/>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(226.6)</w:t>
            </w: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investing activities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(8,671.5)</w:t>
            </w: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(2,006.2)</w:t>
            </w: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00" w:type="dxa"/>
            <w:vAlign w:val="bottom"/>
            <w:gridSpan w:val="4"/>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(6,665.3)</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5,508.0</w:t>
            </w:r>
          </w:p>
        </w:tc>
        <w:tc>
          <w:tcPr>
            <w:tcW w:w="280" w:type="dxa"/>
            <w:vAlign w:val="bottom"/>
            <w:shd w:val="clear" w:color="auto" w:fill="CCECFF"/>
          </w:tcPr>
          <w:p>
            <w:pPr>
              <w:spacing w:after="0"/>
              <w:rPr>
                <w:sz w:val="18"/>
                <w:szCs w:val="18"/>
                <w:color w:val="auto"/>
              </w:rPr>
            </w:pPr>
          </w:p>
        </w:tc>
        <w:tc>
          <w:tcPr>
            <w:tcW w:w="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shd w:val="clear" w:color="auto" w:fill="CCEC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CFF"/>
          </w:tcPr>
          <w:p>
            <w:pPr>
              <w:spacing w:after="0"/>
              <w:rPr>
                <w:sz w:val="18"/>
                <w:szCs w:val="18"/>
                <w:color w:val="auto"/>
              </w:rPr>
            </w:pPr>
          </w:p>
        </w:tc>
      </w:tr>
      <w:tr>
        <w:trPr>
          <w:trHeight w:val="216"/>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58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1,465.5</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CFF"/>
          </w:tcPr>
          <w:p>
            <w:pPr>
              <w:spacing w:after="0"/>
              <w:rPr>
                <w:sz w:val="18"/>
                <w:szCs w:val="18"/>
                <w:color w:val="auto"/>
              </w:rPr>
            </w:pPr>
          </w:p>
        </w:tc>
      </w:tr>
      <w:tr>
        <w:trPr>
          <w:trHeight w:val="216"/>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(7,007.9)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(869.7)</w:t>
            </w:r>
          </w:p>
        </w:tc>
      </w:tr>
      <w:tr>
        <w:trPr>
          <w:trHeight w:val="216"/>
        </w:trPr>
        <w:tc>
          <w:tcPr>
            <w:tcW w:w="58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Noncash write-off of unamortized DFF and OID</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32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20" w:type="dxa"/>
            <w:vAlign w:val="bottom"/>
            <w:gridSpan w:val="4"/>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58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20" w:type="dxa"/>
            <w:vAlign w:val="bottom"/>
            <w:gridSpan w:val="4"/>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increase in net cash used in operating activities compared to the prior year period was driven by higher variable incentive compensation payments, partially offset by lower interest and cash taxes paid in the current year period compared to the prior year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proceeds from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by investing activities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24"/>
        </w:trPr>
        <w:tc>
          <w:tcPr>
            <w:tcW w:w="30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60" w:type="dxa"/>
            <w:vAlign w:val="bottom"/>
          </w:tcPr>
          <w:p>
            <w:pPr>
              <w:spacing w:after="0"/>
              <w:rPr>
                <w:sz w:val="20"/>
                <w:szCs w:val="20"/>
                <w:color w:val="auto"/>
              </w:rPr>
            </w:pPr>
          </w:p>
        </w:tc>
      </w:tr>
      <w:tr>
        <w:trPr>
          <w:trHeight w:val="210"/>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60" w:type="dxa"/>
            <w:vAlign w:val="bottom"/>
          </w:tcPr>
          <w:p>
            <w:pPr>
              <w:spacing w:after="0"/>
              <w:rPr>
                <w:sz w:val="18"/>
                <w:szCs w:val="18"/>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440" w:space="720"/>
            <w:col w:w="3080"/>
          </w:cols>
          <w:pgMar w:left="320" w:top="1305" w:right="339" w:bottom="1440" w:gutter="0" w:footer="0" w:header="0"/>
        </w:sect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increase in cash generated by investing activities compared to the prior year period was primarily driven by $10,460.4 million of net proceeds related to the sale of the CCS segment to Amphenol in the current year period compared to $2,034.5 million of net proceeds related to the sale of the OWN segment and DAS business unit to Amphenol in the prior year period. The net cash generated by investing activities also benefited from favorable impacts due to decreased capital expenditures of $2.2 million compared to the prior 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Long-term debt repaid</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(7,370.8)</w:t>
            </w:r>
          </w:p>
        </w:tc>
        <w:tc>
          <w:tcPr>
            <w:tcW w:w="640" w:type="dxa"/>
            <w:vAlign w:val="bottom"/>
            <w:gridSpan w:val="2"/>
            <w:shd w:val="clear" w:color="auto" w:fill="CCEC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(2,049.0)</w:t>
            </w: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proceeds</w:t>
            </w:r>
          </w:p>
        </w:tc>
        <w:tc>
          <w:tcPr>
            <w:tcW w:w="300" w:type="dxa"/>
            <w:vAlign w:val="bottom"/>
          </w:tcPr>
          <w:p>
            <w:pPr>
              <w:spacing w:after="0"/>
              <w:rPr>
                <w:sz w:val="18"/>
                <w:szCs w:val="18"/>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convertible preferred stock</w:t>
            </w:r>
          </w:p>
        </w:tc>
        <w:tc>
          <w:tcPr>
            <w:tcW w:w="30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(1,278.7)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3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1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shares under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3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(8,671.5)</w:t>
            </w:r>
          </w:p>
        </w:tc>
        <w:tc>
          <w:tcPr>
            <w:tcW w:w="100" w:type="dxa"/>
            <w:vAlign w:val="bottom"/>
            <w:vMerge w:val="continue"/>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(2,006.2)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in connection with sale of the CCS segment, we repaid in full all outstanding indebtedness using a portion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proceeds from the transaction which included repayment of our then-existing 2029 Term Loan in an aggregate outstanding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 million and the redemption of all outstanding Notes including (1) $1,000.0 million in outstanding aggregate principal amount of the 2031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(2) $951.0 million in outstanding aggregate principal amount of the 2029 Secured Notes, (3) $641.6 million in outstanding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2028 Notes, (4) $866.9 million in outstanding aggregate principal amount of the 8.25% 2027 Notes and (5) $750.0 million in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the 5.00% 2027 Notes. We also recorded a loss of $11.3 million on the extinguishment of debt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addition, on the closing date, we redeemed 100% of the Convertible Preferred Stock for $1.3 billion of cash.</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repurchased $299.0 million in aggregate principal amount of our 2029 Secured Notes and repurchased in full the $1,500.0 million outstanding amount of our 2026 Secured Notes. We also borrowed $50.0 million and repaid $250.0 million of outstanding borrowings under our Prior Revolving Credit Facility during the three months ended March 31, 2025. In connection with the debt refinancing completed in December 31, 2024, we paid $5.7 million of debt issuance costs during the three months ended March 31, 2025.</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employees surrendered shares of our common stock to satisfy their tax withholding requirements on vested restricted stock units (RSUs) and performance share units (PSUs), which reduced cash flows by $20.4 million compared to $1.5 million in the prior year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recurring business. We also use certain of these financial measures for business planning purposes and in measuring our performance relative to that of our competitors.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also believe presenting these non-GAAP results for the twelve months ended March 31, 2026 provides an additional tool for assessing our recent performance. Such amounts are unaudited and are derived by subtracting the data for the three months ended March 31, 2025 from the data for the year ended December 31, 2025 and then adding the data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bl>
      <w:tblPr>
        <w:tblLayout w:type="fixed"/>
        <w:tblInd w:w="0" w:type="dxa"/>
        <w:tblCellMar>
          <w:top w:w="0" w:type="dxa"/>
          <w:left w:w="0" w:type="dxa"/>
          <w:bottom w:w="0" w:type="dxa"/>
          <w:right w:w="0" w:type="dxa"/>
        </w:tblCellMar>
      </w:tblPr>
      <w:tr>
        <w:trPr>
          <w:trHeight w:val="155"/>
        </w:trPr>
        <w:tc>
          <w:tcPr>
            <w:tcW w:w="4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center"/>
              <w:ind w:left="29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48"/>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left="31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4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60" w:type="dxa"/>
            <w:vAlign w:val="bottom"/>
            <w:gridSpan w:val="2"/>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40" w:type="dxa"/>
            <w:vAlign w:val="bottom"/>
            <w:shd w:val="clear" w:color="auto" w:fill="CCECFF"/>
          </w:tcPr>
          <w:p>
            <w:pPr>
              <w:spacing w:after="0"/>
              <w:rPr>
                <w:sz w:val="18"/>
                <w:szCs w:val="18"/>
                <w:color w:val="auto"/>
              </w:rPr>
            </w:pPr>
          </w:p>
        </w:tc>
        <w:tc>
          <w:tcPr>
            <w:tcW w:w="30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60" w:type="dxa"/>
            <w:vAlign w:val="bottom"/>
            <w:shd w:val="clear" w:color="auto" w:fill="CCECFF"/>
          </w:tcPr>
          <w:p>
            <w:pPr>
              <w:spacing w:after="0"/>
              <w:rPr>
                <w:sz w:val="18"/>
                <w:szCs w:val="18"/>
                <w:color w:val="auto"/>
              </w:rPr>
            </w:pP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(185.2)</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r>
      <w:tr>
        <w:trPr>
          <w:trHeight w:val="216"/>
        </w:trPr>
        <w:tc>
          <w:tcPr>
            <w:tcW w:w="4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Transaction, transformation and integration costs </w:t>
            </w:r>
            <w:r>
              <w:rPr>
                <w:rFonts w:ascii="Times New Roman" w:cs="Times New Roman" w:eastAsia="Times New Roman" w:hAnsi="Times New Roman"/>
                <w:sz w:val="24"/>
                <w:szCs w:val="24"/>
                <w:color w:val="auto"/>
                <w:vertAlign w:val="superscript"/>
              </w:rPr>
              <w:t>(1)</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r>
      <w:tr>
        <w:trPr>
          <w:trHeight w:val="216"/>
        </w:trPr>
        <w:tc>
          <w:tcPr>
            <w:tcW w:w="4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CFF"/>
          </w:tcPr>
          <w:p>
            <w:pPr>
              <w:spacing w:after="0"/>
              <w:rPr>
                <w:sz w:val="18"/>
                <w:szCs w:val="18"/>
                <w:color w:val="auto"/>
              </w:rPr>
            </w:pPr>
          </w:p>
        </w:tc>
      </w:tr>
      <w:tr>
        <w:trPr>
          <w:trHeight w:val="216"/>
        </w:trPr>
        <w:tc>
          <w:tcPr>
            <w:tcW w:w="4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0"/>
                <w:szCs w:val="20"/>
                <w:color w:val="auto"/>
                <w:vertAlign w:val="superscript"/>
              </w:rPr>
              <w:t>(2)</w:t>
            </w:r>
          </w:p>
        </w:tc>
        <w:tc>
          <w:tcPr>
            <w:tcW w:w="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49"/>
        </w:trPr>
        <w:tc>
          <w:tcPr>
            <w:tcW w:w="4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96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2026 and 2025, primarily reflects transaction costs related to our transformation initiative that began in 2021.</w:t>
      </w:r>
    </w:p>
    <w:p>
      <w:pPr>
        <w:spacing w:after="0" w:line="5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2025, reflects a pretax loss of $4.8 million related to the sale of our OneCell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Segment adjusted EBITDA is provided as a performance measure in Note 6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RUCKUS</w:t>
      </w:r>
    </w:p>
    <w:p>
      <w:pPr>
        <w:spacing w:after="0" w:line="11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gridSpan w:val="2"/>
            <w:shd w:val="clear" w:color="auto" w:fill="CCEC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Aurora</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gridSpan w:val="2"/>
            <w:shd w:val="clear" w:color="auto" w:fill="CCEC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7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Components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and uncertainties, many of which are outside our control, including, without limitation, the occurrence of any event, change or other circumstances that could give rise to the termination of the purchase agreement for the Ruckus transaction; the inability to complete the proposed transaction due to the failure to satisfy any of the conditions to completion of the proposed transaction, including that a governmental entity may prohibit, delay or refuse to grant approval for the consummation of the transaction; risks related to disruption of management’s attention from the Company’s ongoing business operations due to the transaction; the effect of the announcement of the proposed transaction on the Company’s relationships, operating results and business generally; the risk that the proposed transaction will not be consummated in a timely manner; exceeding the expected costs of the transaction;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our transformation initiative and other cost saving initiatives; potential difficulties in realigning global manufacturing capacity and capabilities among our global manufacturing facility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incur indebtedness at acceptable interest rates or at all; our ability to generate cash to service any future indebtedness; the ability to recognize the expected benefits of the sale of the CCS segment and prior sale transactions, including the expected financial performance of Vistance Networks following the transaction and prior sale transactions; the effect of the proposed transaction and prior sale transactions on the ability of Vistance Networks to retain and hire key personnel and maintain relationships with its key business partners and customers, and others with whom it does business, or on its operating results and businesses generally; the response of Vistance Network’s competitors, creditors and prior stakeholders to the proposed transaction and prior sale transactions; potential litigation relating to the proposed transaction and prior sale transactions;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These and other factors are discussed in greater detail under the heading "Risk Factors" and "Management's Discussion and Analysis of Financial Condition and Results of Operations" in our 2025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interest rate risk, commodity price risk or foreign currency exchange rate risk information previously reported under Item 7A of our 2025 Annual Report, as filed with the Securities and Exchange Commission on February 26,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Reference should be made to our 2025 Annual Report for additional information regarding discussion of the effectiveness of the Company’s controls and procedures. During the quarter ended March 31, 2026, the Company completed the sale of substantially all the systems and related processes of the CCS segment, resulting in the separation of its ERP system and other supporting systems. Except for the completion of the CCS segment asset migration to Amphenol and the related separation of systems, there have been no changes in our internal control over financial reporting during the quarter ended March 31, 2026 that have materially affected, or are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212529"/>
        </w:rPr>
        <w: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the risk factors disclosed in Part I – Item 1A, Risk Factors of our 2025 Annual Report.</w:t>
      </w:r>
    </w:p>
    <w:p>
      <w:pPr>
        <w:spacing w:after="0" w:line="131" w:lineRule="exact"/>
        <w:rPr>
          <w:sz w:val="20"/>
          <w:szCs w:val="20"/>
          <w:color w:val="auto"/>
        </w:rPr>
      </w:pPr>
    </w:p>
    <w:p>
      <w:pPr>
        <w:ind w:right="4080"/>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30, 2025, the Company’s board of directors approved a share repurchase program, authorizing, but not obligating the repurchase of up to $50.0 million of the Company’s outstanding common stock. The Company did not make any repurchases under such share repurchase program.</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29, 2026, the Company’s board of directors approved a new share repurchase program, replacing the previous program, authorizing, but not obligating the repurchase of up to an aggregate of $100.0 million of the Company’s outstanding common stock. Repurchases under the stock repurchase programs may be made at management’s discretion from time to time on the open market, in privately negotiated transactions or otherwise, in each case subject to compliance with all Securities and Exchange Commission rules and other legal requirements and may be made in part under one or more Rule 10b5-1 and Rule 10b-18 plans, which permit stock repurchases at times when we might otherwise be precluded from doing so. The method, timing and amount of shares repurchased under the repurchase program will depend on several factors, including capital and liquidity requirements, market conditions and alternative uses for cash. The repurchase program does not have a set expiration date, but may be modified, suspended or discontinued at any time.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following table summarizes the stock purchase activity for the three months ended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Value of Shares that</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8"/>
                <w:szCs w:val="8"/>
                <w:color w:val="auto"/>
              </w:rPr>
            </w:pP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300" w:type="dxa"/>
            <w:vAlign w:val="bottom"/>
          </w:tcPr>
          <w:p>
            <w:pPr>
              <w:spacing w:after="0"/>
              <w:rPr>
                <w:sz w:val="8"/>
                <w:szCs w:val="8"/>
                <w:color w:val="auto"/>
              </w:rPr>
            </w:pPr>
          </w:p>
        </w:tc>
        <w:tc>
          <w:tcPr>
            <w:tcW w:w="23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56"/>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4"/>
                <w:szCs w:val="4"/>
                <w:color w:val="auto"/>
              </w:rPr>
            </w:pPr>
          </w:p>
        </w:tc>
        <w:tc>
          <w:tcPr>
            <w:tcW w:w="128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3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1,051,283</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CFF"/>
          </w:tcPr>
          <w:p>
            <w:pPr>
              <w:spacing w:after="0"/>
              <w:rPr>
                <w:sz w:val="18"/>
                <w:szCs w:val="18"/>
                <w:color w:val="auto"/>
              </w:rPr>
            </w:pPr>
          </w:p>
        </w:tc>
        <w:tc>
          <w:tcPr>
            <w:tcW w:w="1960" w:type="dxa"/>
            <w:vAlign w:val="bottom"/>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40" w:type="dxa"/>
            <w:vAlign w:val="bottom"/>
          </w:tcPr>
          <w:p>
            <w:pPr>
              <w:spacing w:after="0"/>
              <w:rPr>
                <w:sz w:val="18"/>
                <w:szCs w:val="18"/>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20" w:type="dxa"/>
            <w:vAlign w:val="bottom"/>
            <w:tcBorders>
              <w:bottom w:val="single" w:sz="8" w:color="CCECFF"/>
            </w:tcBorders>
            <w:shd w:val="clear" w:color="auto" w:fill="CCECFF"/>
          </w:tcPr>
          <w:p>
            <w:pPr>
              <w:spacing w:after="0"/>
              <w:rPr>
                <w:sz w:val="18"/>
                <w:szCs w:val="18"/>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tcBorders>
              <w:bottom w:val="single" w:sz="8" w:color="CCECFF"/>
            </w:tcBorders>
            <w:shd w:val="clear" w:color="auto" w:fill="CCECFF"/>
          </w:tcPr>
          <w:p>
            <w:pPr>
              <w:spacing w:after="0"/>
              <w:rPr>
                <w:sz w:val="18"/>
                <w:szCs w:val="18"/>
                <w:color w:val="auto"/>
              </w:rPr>
            </w:pPr>
          </w:p>
        </w:tc>
        <w:tc>
          <w:tcPr>
            <w:tcW w:w="1960" w:type="dxa"/>
            <w:vAlign w:val="bottom"/>
            <w:tcBorders>
              <w:bottom w:val="single" w:sz="8" w:color="auto"/>
            </w:tcBorders>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1,101,430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40" w:type="dxa"/>
            <w:vAlign w:val="bottom"/>
          </w:tcPr>
          <w:p>
            <w:pPr>
              <w:spacing w:after="0"/>
              <w:rPr>
                <w:sz w:val="18"/>
                <w:szCs w:val="18"/>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-170815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purchased were withheld to satisfy the withholding tax obligations related to RSUs and PSUs that vested during the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officers and directors did not enter into, modify or terminate any Rule 10b5-1 trading arrangements or non-Rule 10b5-1 trading arrangements (each as defined in Item 408(c) of Regulation S-K) during the quarter ended March 31, 2026.</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Second Amended and Restated Certificate of Incorporation of Vistance Networks, Inc. (Incorporated by reference to Exhibit 3.1 to the</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Company’s Current Report on Form 8-K, filed with the SEC on January 15, 2026).</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Seventh Amended and Restated Bylaws of Vistance Networks, Inc. (Incorporated by reference to Exhibit 3.2 to the Company’s Current</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4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Report on Form 8-K, filed with the SEC on January 15, 2026).</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9"/>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Revolving Credit Agreement, dated as of April 7, 2026, by and among Vistance Networks Holdings, LLC, as a borrower, certain the</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subsidiaries of Vistance Networks Holdings, LLC, as co-borrowers Vistance Networks, Inc., as holdings, the lenders party thereto, and</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Citibank, N.A., as administrative agent and collateral agent (Incorporated by reference to Exhibit 10.1 to the Company’s Current Report on</w:t>
              </w:r>
            </w:hyperlink>
          </w:p>
        </w:tc>
      </w:tr>
      <w:tr>
        <w:trPr>
          <w:trHeight w:val="20"/>
        </w:trPr>
        <w:tc>
          <w:tcPr>
            <w:tcW w:w="10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8-K, filed with the SEC on April 8, 2026).</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840" w:type="dxa"/>
            <w:vAlign w:val="bottom"/>
            <w:tcBorders>
              <w:left w:val="single" w:sz="8" w:color="0000FF"/>
            </w:tcBorders>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040" w:type="dxa"/>
            <w:vAlign w:val="bottom"/>
          </w:tcPr>
          <w:p>
            <w:pPr>
              <w:spacing w:after="0" w:line="20" w:lineRule="exact"/>
              <w:rPr>
                <w:sz w:val="1"/>
                <w:szCs w:val="1"/>
                <w:color w:val="auto"/>
              </w:rPr>
            </w:pPr>
          </w:p>
        </w:tc>
        <w:tc>
          <w:tcPr>
            <w:tcW w:w="7920" w:type="dxa"/>
            <w:vAlign w:val="bottom"/>
            <w:gridSpan w:val="5"/>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 (furnished pursuant to Item 601(b)(32)(ii) of Regulation S-K).</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920" w:type="dxa"/>
            <w:vAlign w:val="bottom"/>
            <w:gridSpan w:val="5"/>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r>
      <w:tr>
        <w:trPr>
          <w:trHeight w:val="3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40" w:type="dxa"/>
            <w:vAlign w:val="bottom"/>
          </w:tcPr>
          <w:p>
            <w:pPr>
              <w:spacing w:after="0"/>
              <w:rPr>
                <w:sz w:val="20"/>
                <w:szCs w:val="20"/>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Schema Document, furnished herewith.</w:t>
            </w:r>
          </w:p>
        </w:tc>
      </w:tr>
    </w:tbl>
    <w:p>
      <w:pPr>
        <w:spacing w:after="0" w:line="76" w:lineRule="exact"/>
        <w:rPr>
          <w:sz w:val="20"/>
          <w:szCs w:val="20"/>
          <w:color w:val="auto"/>
        </w:rPr>
      </w:pPr>
    </w:p>
    <w:p>
      <w:pPr>
        <w:ind w:left="940" w:right="4240" w:hanging="932"/>
        <w:spacing w:after="0" w:line="360" w:lineRule="auto"/>
        <w:tabs>
          <w:tab w:leader="none" w:pos="10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*Previously filed.</w:t>
      </w:r>
    </w:p>
    <w:p>
      <w:pPr>
        <w:ind w:left="84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VISTANCE NETWORKS, INC.</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April 29,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189"/>
        </w:trPr>
        <w:tc>
          <w:tcPr>
            <w:tcW w:w="6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Kyle D. Lorentzen</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L. Treadway,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Vistance Networks,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60" w:hanging="3"/>
        <w:spacing w:after="0" w:line="266" w:lineRule="auto"/>
        <w:tabs>
          <w:tab w:leader="none" w:pos="7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3"/>
        <w:spacing w:after="0" w:line="266"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860" w:hanging="3"/>
        <w:spacing w:after="0" w:line="312" w:lineRule="auto"/>
        <w:tabs>
          <w:tab w:leader="none" w:pos="70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20" w:hanging="3"/>
        <w:spacing w:after="0" w:line="266"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80" w:hanging="3"/>
        <w:spacing w:after="0" w:line="282" w:lineRule="auto"/>
        <w:tabs>
          <w:tab w:leader="none" w:pos="7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 L. Treadway</w:t>
            </w:r>
          </w:p>
        </w:tc>
        <w:tc>
          <w:tcPr>
            <w:tcW w:w="676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80" w:type="dxa"/>
            <w:vAlign w:val="bottom"/>
          </w:tcPr>
          <w:p>
            <w:pPr>
              <w:spacing w:after="0"/>
              <w:rPr>
                <w:sz w:val="20"/>
                <w:szCs w:val="20"/>
                <w:color w:val="auto"/>
              </w:rPr>
            </w:pPr>
          </w:p>
        </w:tc>
        <w:tc>
          <w:tcPr>
            <w:tcW w:w="10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Lorentzen,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Vistance Networks,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60" w:hanging="3"/>
        <w:spacing w:after="0" w:line="266" w:lineRule="auto"/>
        <w:tabs>
          <w:tab w:leader="none" w:pos="7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3"/>
        <w:spacing w:after="0" w:line="266" w:lineRule="auto"/>
        <w:tabs>
          <w:tab w:leader="none" w:pos="7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860" w:hanging="3"/>
        <w:spacing w:after="0" w:line="312" w:lineRule="auto"/>
        <w:tabs>
          <w:tab w:leader="none" w:pos="70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20" w:hanging="3"/>
        <w:spacing w:after="0" w:line="266" w:lineRule="auto"/>
        <w:tabs>
          <w:tab w:leader="none" w:pos="7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80" w:hanging="3"/>
        <w:spacing w:after="0" w:line="282" w:lineRule="auto"/>
        <w:tabs>
          <w:tab w:leader="none" w:pos="7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Kyle D. Lorentzen</w:t>
            </w:r>
          </w:p>
        </w:tc>
        <w:tc>
          <w:tcPr>
            <w:tcW w:w="676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580" w:type="dxa"/>
            <w:vAlign w:val="bottom"/>
          </w:tcPr>
          <w:p>
            <w:pPr>
              <w:spacing w:after="0"/>
              <w:rPr>
                <w:sz w:val="20"/>
                <w:szCs w:val="20"/>
                <w:color w:val="auto"/>
              </w:rPr>
            </w:pPr>
          </w:p>
        </w:tc>
        <w:tc>
          <w:tcPr>
            <w:tcW w:w="10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(Principal Financial Officer)</w:t>
            </w:r>
          </w:p>
        </w:tc>
      </w:tr>
      <w:tr>
        <w:trPr>
          <w:trHeight w:val="1195"/>
        </w:trPr>
        <w:tc>
          <w:tcPr>
            <w:tcW w:w="5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Vistance Networks, Inc. (the “Company”) on Form 10-Q for the quarter ended March 31, 2026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0" w:firstLine="8"/>
        <w:spacing w:after="0" w:line="508"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29,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L. Treadway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D. Lorentzen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64" Type="http://schemas.openxmlformats.org/officeDocument/2006/relationships/hyperlink" Target="https://www.sec.gov/Archives/edgar/data/1517228/000119312526014078/d749492dex31.htm" TargetMode="External"/><Relationship Id="rId265" Type="http://schemas.openxmlformats.org/officeDocument/2006/relationships/hyperlink" Target="https://www.sec.gov/Archives/edgar/data/1517228/000119312526014078/d749492dex32.htm" TargetMode="External"/><Relationship Id="rId266" Type="http://schemas.openxmlformats.org/officeDocument/2006/relationships/hyperlink" Target="https://www.sec.gov/Archives/edgar/data/1517228/000119312526147622/vis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2026-04-30T06:16:33Z</dcterms:created>
  <dcterms:modified xsi:type="dcterms:W3CDTF">2026-04-30T06:16:33Z</dcterms:modified>
</cp:coreProperties>
</file>