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Gilstrap Charles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Treasury, Tax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10.75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302,417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As previously reported, includes (a) 36,750 restricted stock units that were granted on 06/01/2024 and will vest on 06/01/2027; (b) 22,134 restricted stock units that were granted on 06/01/2025 and will vest ratably on 06/01/2027 and 06/01/2028; and (c) 16,300 restricted stock units that were granted on 06/01/2026 and will vest ratably on 06/01/2027, 06/01/2028 and 06/01/2029; each subject to the reporting person's continued employment with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715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3504</Characters>
  <CharactersWithSpaces>4078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