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9, 2024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COMMSCOPE HOLDING COMPANY, INC.</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18"/>
                <w:szCs w:val="18"/>
                <w:color w:val="auto"/>
              </w:rPr>
            </w:pPr>
          </w:p>
        </w:tc>
      </w:tr>
      <w:tr>
        <w:trPr>
          <w:trHeight w:val="238"/>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001-36146</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27-4332098</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Claremont, North Carolina 28610</w:t>
            </w:r>
          </w:p>
        </w:tc>
        <w:tc>
          <w:tcPr>
            <w:tcW w:w="1700" w:type="dxa"/>
            <w:vAlign w:val="bottom"/>
          </w:tcPr>
          <w:p>
            <w:pPr>
              <w:spacing w:after="0"/>
              <w:rPr>
                <w:sz w:val="19"/>
                <w:szCs w:val="19"/>
                <w:color w:val="auto"/>
              </w:rPr>
            </w:pPr>
          </w:p>
        </w:tc>
      </w:tr>
      <w:tr>
        <w:trPr>
          <w:trHeight w:val="212"/>
        </w:trPr>
        <w:tc>
          <w:tcPr>
            <w:tcW w:w="2100" w:type="dxa"/>
            <w:vAlign w:val="bottom"/>
          </w:tcPr>
          <w:p>
            <w:pPr>
              <w:spacing w:after="0"/>
              <w:rPr>
                <w:sz w:val="18"/>
                <w:szCs w:val="18"/>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(828) 459-5000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820" w:firstLine="21"/>
        <w:spacing w:after="0" w:line="392" w:lineRule="auto"/>
        <w:tabs>
          <w:tab w:leader="none" w:pos="3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6"/>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6"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6"/>
          <w:szCs w:val="16"/>
          <w:color w:val="auto"/>
        </w:rPr>
        <w:t>On January 9, 2024, (the “Closing Date”), CommScope Holding Company, Inc. (the "Company" or “CommScope”) completed the previously announced sale of the Home Networks business (the “Home Business”) of the Company to Vantiva SA (“Vantiva”) pursuant to the Purchase Agreement (the "Purchase Agreement"), dated as of December 7, 2023. Pursuant to the Purchase Agreement, Vantiva acquired the Home Business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subject to the satisfaction of certain conditions. The $250,465 in cash paid in connection with the closing is expected to be used to acquire additional shares of Vantiva common stock, following which the Company is expected to own a 25% equity stake in Vantiva (on a fully diluted basis).</w:t>
      </w:r>
    </w:p>
    <w:p>
      <w:pPr>
        <w:spacing w:after="0" w:line="190" w:lineRule="exact"/>
        <w:rPr>
          <w:sz w:val="20"/>
          <w:szCs w:val="20"/>
          <w:color w:val="auto"/>
        </w:rPr>
      </w:pPr>
    </w:p>
    <w:p>
      <w:pPr>
        <w:ind w:right="240" w:firstLine="449"/>
        <w:spacing w:after="0" w:line="298" w:lineRule="auto"/>
        <w:rPr>
          <w:sz w:val="20"/>
          <w:szCs w:val="20"/>
          <w:color w:val="auto"/>
        </w:rPr>
      </w:pPr>
      <w:r>
        <w:rPr>
          <w:rFonts w:ascii="Times New Roman" w:cs="Times New Roman" w:eastAsia="Times New Roman" w:hAnsi="Times New Roman"/>
          <w:sz w:val="16"/>
          <w:szCs w:val="16"/>
          <w:color w:val="auto"/>
        </w:rPr>
        <w:t>The description of the Purchase Agreement set forth herein does not purport to be complete and is qualified in its entirety by reference to the Purchase Agreement, which was attached as Exhibit 2.2 to the Company's Current Report on Form 8-K filed with the Securities and Exchange Commission on October 5,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(b)</w:t>
        <w:tab/>
        <w:t>Unaudited Pro Forma Condensed Consolidated Financial Information</w:t>
      </w:r>
    </w:p>
    <w:p>
      <w:pPr>
        <w:spacing w:after="0" w:line="22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following unaudited pro forma condensed consolidated financial statements of CommScope reflecting the disposition of the Home Business pursuant to the Purchase Agreement, are filed as Exhibit 99.1 to this Current Report on Form 8-K and are incorporated herein by reference:</w:t>
      </w:r>
    </w:p>
    <w:p>
      <w:pPr>
        <w:spacing w:after="0" w:line="56"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Pro Forma Condensed Consolidated Balance Sheet as of September 30, 2023;</w:t>
      </w:r>
    </w:p>
    <w:p>
      <w:pPr>
        <w:spacing w:after="0" w:line="126" w:lineRule="exact"/>
        <w:rPr>
          <w:rFonts w:ascii="Times New Roman" w:cs="Times New Roman" w:eastAsia="Times New Roman" w:hAnsi="Times New Roman"/>
          <w:sz w:val="16"/>
          <w:szCs w:val="16"/>
          <w:color w:val="auto"/>
        </w:rPr>
      </w:pPr>
    </w:p>
    <w:p>
      <w:pPr>
        <w:ind w:left="1020" w:right="140" w:hanging="503"/>
        <w:spacing w:after="0" w:line="298" w:lineRule="auto"/>
        <w:tabs>
          <w:tab w:leader="none" w:pos="10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Pro Forma Condensed Consolidated Statements of Operations for the nine months ended September 30, 2023 and the years ended December 31, 2022, 2021 and 2020; and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to the Unaudited Pro Forma Condensed Consolidated Financial Statements.</w:t>
      </w:r>
    </w:p>
    <w:p>
      <w:pPr>
        <w:spacing w:after="0" w:line="221"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hereby filed as part of this Current Report on Form 8-K.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0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CommScope Holding Company, Inc. Unaudited Pro Forma Condensed Consolidated Financial Information</w:t>
            </w:r>
          </w:p>
        </w:tc>
      </w:tr>
      <w:tr>
        <w:trPr>
          <w:trHeight w:val="33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6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3360" w:type="dxa"/>
            <w:vAlign w:val="bottom"/>
          </w:tcPr>
          <w:p>
            <w:pPr>
              <w:spacing w:after="0"/>
              <w:rPr>
                <w:sz w:val="24"/>
                <w:szCs w:val="24"/>
                <w:color w:val="auto"/>
              </w:rPr>
            </w:pPr>
          </w:p>
        </w:tc>
      </w:tr>
      <w:tr>
        <w:trPr>
          <w:trHeight w:val="3158"/>
        </w:trPr>
        <w:tc>
          <w:tcPr>
            <w:tcW w:w="9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2024</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7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26035</wp:posOffset>
            </wp:positionV>
            <wp:extent cx="275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Kyle D. Lorentzen</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6"/>
          <w:szCs w:val="16"/>
          <w:color w:val="auto"/>
        </w:rPr>
        <w:t xml:space="preserve">On January 9, 2024, (the “Closing Date”), CommScope Holding Company, Inc. (“CommScope”, the “Company”) completed the sale of its Home Networks business (the “Home Business”) (the “Disposal”), to Vantiva SA (“Vantiva”, the “buyer”). The Home Business focuses on the delivery of innovative, connected home solutions for broadband and pay TV service providers. Pursuant to the Purchase Agreement, CommScope sold its Home Business to Vantiva in exchange for 134,704,669 shares of Vantiva common stock, representing a 24.73% equity stake in Vantiva (determined on a fully diluted basis) and $250,465 in cash (in addition to cash paid in exchange for the cash on the Home Business companies’ balance sheets), as well as the potential to receive an additional $100 million pursuant to terms of an earnout provision in the Purchase Agreement. The earnout is contingent upon Vantiva achieving adjusted EBITDA equal to or exceeding €400 million in a given year over a 5-year period and meeting certain other thresholds. The $250,465 in cash paid in connection with the closing is expected to be used to acquire additional shares of Vantiva common stock, following which the Company is expected to own a 25% equity stake in Vantiva (on a fully diluted basis). Following the closing of this transaction, CommScope’s ownership interest in Vantiva is expected to be reported as an equity method investment under Accounting Standards Codification (“ASC”) </w:t>
      </w:r>
      <w:r>
        <w:rPr>
          <w:rFonts w:ascii="Times New Roman" w:cs="Times New Roman" w:eastAsia="Times New Roman" w:hAnsi="Times New Roman"/>
          <w:sz w:val="16"/>
          <w:szCs w:val="16"/>
          <w:i w:val="1"/>
          <w:iCs w:val="1"/>
          <w:color w:val="auto"/>
        </w:rPr>
        <w:t>323, Investments –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Method and Joint Ventures.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following unaudited pro forma condensed consolidated financial statements were derived from the historical consolidated financial statements of CommScope, which were prepared in accordance with generally accepted accounting principles in the United States of America ("GAAP"). The unaudited pro forma condensed consolidated financial statements were prepared in accordance with Article 11 of Regulation S-X. The unaudited pro forma condensed consolidated financial statements were prepared for illustrative and informational purposes only and are not intended to represent what CommScope’s results of operations or financial position would have been had the Disposal occurred on the dates indicated. The unaudited pro forma condensed consolidated financial statements also should not be considered indicative of CommScope’s future results of operations or financial position. The actual financial position and results of operations may differ significantly from the pro forma amounts reflected herein due to a variety of factors.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as of and for the nine months ended September 30, 2023, have been derived from the historical unaudited consolidated financial statements of CommScope, included in CommScope’s Quarterly Report on Form 10-Q for the quarterly period ended September 30, 2023, filed with the Securities and Exchange Commission (“SEC”) on November 9, 2023. The unaudited pro forma condensed consolidated financial statements for the years ended December 31, 2022, 2021, and 2020 have been derived from the historical audited consolidated financial statements of CommScope, included in CommScope’s Annual Report on Form 10-K for the year ended December 31, 2022, filed with the SEC on February 23, 2023. The unaudited pro forma condensed consolidated financial statements and accompanying notes should be read in conjunction with CommScope’s historical consolidated financial statements and accompanying notes.</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unaudited pro forma condensed consolidated statements of operations for the nine months ended September 30, 2023, and for the years ended December 31, 2022, 2021 and 2020 reflect pro forma results of CommScope’s operations as if the Disposal had occurred on January 1, 2020. The unaudited pro forma condensed consolidated balance sheet as of September 30, 2023, gives effect to the Disposal as if it had occurred on that date. The adjustments in the “Other Separation Adjustments” column in the unaudited pro forma condensed consolidated statements of operations and unaudited pro forma condensed consolidated balance sheet give effect to the Other Separation Adjustments as if they occurred as of January 1, 2022, and September 30, 2023, respectively.</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Beginning in the fourth quarter of 2023, the criteria under ASC 205-20,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for discontinued operations were met, and the Company will present the Disposal as a discontinued operation in future Quarterly Reports on Form 10-Q and in future Annual Reports on Form 10-K. The Company believes that the adjustments included within the “Discontinued Operations of the Home Business” column of the unaudited pro forma condensed consolidated financial statements are consistent with the guidance for discontinued operations under GAAP. CommScope’s current estimates on a discontinued operations basis are subject to change as the Company finalizes discontinued operations accounting to be reported in its Annual Report on Form 10-K for the year ended December 31, 2023.</w:t>
      </w:r>
    </w:p>
    <w:p>
      <w:pPr>
        <w:spacing w:after="0" w:line="18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Article 11 of Regulation S-X requires that pro forma financial information include the following pro forma adjustments to the historical financial statements of the registrant as follows:</w:t>
      </w:r>
    </w:p>
    <w:p>
      <w:pPr>
        <w:spacing w:after="0" w:line="5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Accounting Adjustments:</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oAdjustments that reflect only the application of required accounting to the acquisition, disposition, or other transaction.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Autonomous Entity Adjustments:</w:t>
      </w:r>
    </w:p>
    <w:p>
      <w:pPr>
        <w:spacing w:after="0" w:line="126" w:lineRule="exact"/>
        <w:rPr>
          <w:rFonts w:ascii="Times New Roman" w:cs="Times New Roman" w:eastAsia="Times New Roman" w:hAnsi="Times New Roman"/>
          <w:sz w:val="16"/>
          <w:szCs w:val="16"/>
          <w:color w:val="auto"/>
        </w:rPr>
      </w:pPr>
    </w:p>
    <w:p>
      <w:pPr>
        <w:ind w:left="1540" w:right="420" w:hanging="50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oAdjustments that are necessary to reflect the operations and financial position of the registrant as an autonomous entity when the registrant was previously part of another entity.</w:t>
      </w:r>
    </w:p>
    <w:p>
      <w:pPr>
        <w:spacing w:after="0" w:line="16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addition, Regulation S-X permits registrants to reflect adjustments that depict synergies or dis-synergies of the acquisitions and dispositions for which pro forma effect is being given in the disclosures as management adjustments.</w:t>
      </w:r>
    </w:p>
    <w:p>
      <w:pPr>
        <w:spacing w:after="0" w:line="16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following unaudited pro forma condensed consolidated statements of operations and unaudited pro forma condensed consolidated balance sheet reflect the following transactions in conjunction with the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Discontinued Operations of the Home Business:</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 historical financial results directly attributable to the Home Business in accordance with ASC 205</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Separation Adjustments:</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 estimated impact of the equity interest in Vantiva in connection with the Disposal;</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oEstimated unaccrued one-time transaction costs;</w:t>
      </w:r>
    </w:p>
    <w:p>
      <w:pPr>
        <w:spacing w:after="0" w:line="126" w:lineRule="exact"/>
        <w:rPr>
          <w:rFonts w:ascii="Times New Roman" w:cs="Times New Roman" w:eastAsia="Times New Roman" w:hAnsi="Times New Roman"/>
          <w:sz w:val="16"/>
          <w:szCs w:val="16"/>
          <w:color w:val="auto"/>
        </w:rPr>
      </w:pPr>
    </w:p>
    <w:p>
      <w:pPr>
        <w:ind w:left="1540" w:hanging="50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oContractual arrangements including a transition services agreement (“TSA Agreement” or the “TSA”) for a time period not expected to exceed 16 months.</w:t>
      </w:r>
    </w:p>
    <w:p>
      <w:pPr>
        <w:spacing w:after="0" w:line="16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do not contain any autonomous entity adjustments or potential synergies or dis-synergies that may occur in connection with the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50" w:right="55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Pro Forma Transaction Accounting</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300" w:type="dxa"/>
            <w:vAlign w:val="bottom"/>
            <w:gridSpan w:val="2"/>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of</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the Home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2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CommScope</w:t>
            </w:r>
          </w:p>
        </w:tc>
        <w:tc>
          <w:tcPr>
            <w:tcW w:w="140" w:type="dxa"/>
            <w:vAlign w:val="bottom"/>
          </w:tcPr>
          <w:p>
            <w:pPr>
              <w:spacing w:after="0"/>
              <w:rPr>
                <w:sz w:val="16"/>
                <w:szCs w:val="16"/>
                <w:color w:val="auto"/>
              </w:rPr>
            </w:pPr>
          </w:p>
        </w:tc>
        <w:tc>
          <w:tcPr>
            <w:tcW w:w="130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Business (a)</w:t>
            </w: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CFF"/>
          </w:tcPr>
          <w:p>
            <w:pPr>
              <w:ind w:left="1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CFF"/>
          </w:tcPr>
          <w:p>
            <w:pPr>
              <w:spacing w:after="0"/>
              <w:rPr>
                <w:sz w:val="20"/>
                <w:szCs w:val="20"/>
                <w:color w:val="auto"/>
              </w:rPr>
            </w:pPr>
          </w:p>
        </w:tc>
        <w:tc>
          <w:tcPr>
            <w:tcW w:w="104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02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40" w:type="dxa"/>
            <w:vAlign w:val="bottom"/>
            <w:tcBorders>
              <w:top w:val="single" w:sz="8" w:color="auto"/>
            </w:tcBorders>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40" w:type="dxa"/>
            <w:vAlign w:val="bottom"/>
            <w:tcBorders>
              <w:top w:val="single" w:sz="8" w:color="auto"/>
            </w:tcBorders>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94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(22.4 )</w:t>
            </w:r>
          </w:p>
        </w:tc>
        <w:tc>
          <w:tcPr>
            <w:tcW w:w="5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(218.6 )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(177.2 )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(21.4 )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(439.6 )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(11.7 )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(12.7 )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(37.1 )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280" w:type="dxa"/>
            <w:vAlign w:val="bottom"/>
            <w:shd w:val="clear" w:color="auto" w:fill="CCECFF"/>
          </w:tcPr>
          <w:p>
            <w:pPr>
              <w:spacing w:after="0"/>
              <w:rPr>
                <w:sz w:val="24"/>
                <w:szCs w:val="24"/>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(501.1 )</w:t>
            </w:r>
          </w:p>
        </w:tc>
        <w:tc>
          <w:tcPr>
            <w:tcW w:w="540" w:type="dxa"/>
            <w:vAlign w:val="bottom"/>
            <w:shd w:val="clear" w:color="auto" w:fill="CCECFF"/>
          </w:tcPr>
          <w:p>
            <w:pPr>
              <w:spacing w:after="0"/>
              <w:rPr>
                <w:sz w:val="24"/>
                <w:szCs w:val="24"/>
                <w:color w:val="auto"/>
              </w:rPr>
            </w:pP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CECFF"/>
          </w:tcPr>
          <w:p>
            <w:pPr>
              <w:spacing w:after="0"/>
              <w:rPr>
                <w:sz w:val="24"/>
                <w:szCs w:val="24"/>
                <w:color w:val="auto"/>
              </w:rPr>
            </w:pPr>
          </w:p>
        </w:tc>
        <w:tc>
          <w:tcPr>
            <w:tcW w:w="540" w:type="dxa"/>
            <w:vAlign w:val="bottom"/>
            <w:shd w:val="clear" w:color="auto" w:fill="CCECFF"/>
          </w:tcPr>
          <w:p>
            <w:pPr>
              <w:spacing w:after="0"/>
              <w:rPr>
                <w:sz w:val="24"/>
                <w:szCs w:val="24"/>
                <w:color w:val="auto"/>
              </w:rPr>
            </w:pP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9,583.3</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top w:val="single" w:sz="8" w:color="CCEC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540" w:type="dxa"/>
            <w:vAlign w:val="bottom"/>
            <w:tcBorders>
              <w:top w:val="single" w:sz="8" w:color="CCECFF"/>
            </w:tcBorders>
          </w:tcPr>
          <w:p>
            <w:pPr>
              <w:spacing w:after="0"/>
              <w:rPr>
                <w:sz w:val="19"/>
                <w:szCs w:val="19"/>
                <w:color w:val="auto"/>
              </w:rPr>
            </w:pPr>
          </w:p>
        </w:tc>
        <w:tc>
          <w:tcPr>
            <w:tcW w:w="16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540" w:type="dxa"/>
            <w:vAlign w:val="bottom"/>
            <w:tcBorders>
              <w:top w:val="single" w:sz="8" w:color="CCECFF"/>
            </w:tcBorders>
          </w:tcPr>
          <w:p>
            <w:pPr>
              <w:spacing w:after="0"/>
              <w:rPr>
                <w:sz w:val="19"/>
                <w:szCs w:val="19"/>
                <w:color w:val="auto"/>
              </w:rPr>
            </w:pPr>
          </w:p>
        </w:tc>
        <w:tc>
          <w:tcPr>
            <w:tcW w:w="160" w:type="dxa"/>
            <w:vAlign w:val="bottom"/>
            <w:tcBorders>
              <w:top w:val="single" w:sz="8" w:color="CCEC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(327.3 )</w:t>
            </w:r>
          </w:p>
        </w:tc>
        <w:tc>
          <w:tcPr>
            <w:tcW w:w="540" w:type="dxa"/>
            <w:vAlign w:val="bottom"/>
            <w:shd w:val="clear" w:color="auto" w:fill="CCECFF"/>
          </w:tcPr>
          <w:p>
            <w:pPr>
              <w:spacing w:after="0"/>
              <w:rPr>
                <w:sz w:val="21"/>
                <w:szCs w:val="21"/>
                <w:color w:val="auto"/>
              </w:rPr>
            </w:pP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(88.4 )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(415.7 )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9,353.3</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9,353.3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(14.4 )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(428.0 )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top w:val="single" w:sz="8" w:color="auto"/>
            </w:tcBorders>
            <w:shd w:val="clear" w:color="auto" w:fill="CCECFF"/>
          </w:tcPr>
          <w:p>
            <w:pPr>
              <w:spacing w:after="0"/>
              <w:rPr>
                <w:sz w:val="20"/>
                <w:szCs w:val="20"/>
                <w:color w:val="auto"/>
              </w:rPr>
            </w:pPr>
          </w:p>
        </w:tc>
        <w:tc>
          <w:tcPr>
            <w:tcW w:w="104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02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94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$ 0.01 par value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$ 0.01 par value: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200,000,000;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shares: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1,146,324 shares Series A</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Common stock, $ 0.01 par value:</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Authorized shares: 1,300,000,000;</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Issued and outstanding shares:</w:t>
            </w: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211,918,754 shares</w:t>
            </w:r>
          </w:p>
        </w:tc>
        <w:tc>
          <w:tcPr>
            <w:tcW w:w="16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(4,427.9 )</w:t>
            </w: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(73.1 )</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(4,493.7 )</w:t>
            </w:r>
          </w:p>
        </w:tc>
        <w:tc>
          <w:tcPr>
            <w:tcW w:w="0" w:type="dxa"/>
            <w:vAlign w:val="bottom"/>
          </w:tcPr>
          <w:p>
            <w:pPr>
              <w:spacing w:after="0"/>
              <w:rPr>
                <w:sz w:val="1"/>
                <w:szCs w:val="1"/>
                <w:color w:val="auto"/>
              </w:rPr>
            </w:pPr>
          </w:p>
        </w:tc>
      </w:tr>
      <w:tr>
        <w:trPr>
          <w:trHeight w:val="23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(317.4 )</w:t>
            </w:r>
          </w:p>
        </w:tc>
        <w:tc>
          <w:tcPr>
            <w:tcW w:w="140" w:type="dxa"/>
            <w:vAlign w:val="bottom"/>
          </w:tcPr>
          <w:p>
            <w:pPr>
              <w:spacing w:after="0"/>
              <w:rPr>
                <w:sz w:val="20"/>
                <w:szCs w:val="20"/>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(317.4 )</w:t>
            </w:r>
          </w:p>
        </w:tc>
        <w:tc>
          <w:tcPr>
            <w:tcW w:w="0" w:type="dxa"/>
            <w:vAlign w:val="bottom"/>
          </w:tcPr>
          <w:p>
            <w:pPr>
              <w:spacing w:after="0"/>
              <w:rPr>
                <w:sz w:val="1"/>
                <w:szCs w:val="1"/>
                <w:color w:val="auto"/>
              </w:rPr>
            </w:pPr>
          </w:p>
        </w:tc>
      </w:tr>
      <w:tr>
        <w:trPr>
          <w:trHeight w:val="243"/>
        </w:trPr>
        <w:tc>
          <w:tcPr>
            <w:tcW w:w="4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Treasury stock, at cost: 14,345,829 shares</w:t>
            </w:r>
          </w:p>
        </w:tc>
        <w:tc>
          <w:tcPr>
            <w:tcW w:w="16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(301.5 )</w:t>
            </w:r>
          </w:p>
        </w:tc>
        <w:tc>
          <w:tcPr>
            <w:tcW w:w="14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(301.5 )</w:t>
            </w:r>
          </w:p>
        </w:tc>
        <w:tc>
          <w:tcPr>
            <w:tcW w:w="0" w:type="dxa"/>
            <w:vAlign w:val="bottom"/>
          </w:tcPr>
          <w:p>
            <w:pPr>
              <w:spacing w:after="0"/>
              <w:rPr>
                <w:sz w:val="1"/>
                <w:szCs w:val="1"/>
                <w:color w:val="auto"/>
              </w:rPr>
            </w:pPr>
          </w:p>
        </w:tc>
      </w:tr>
      <w:tr>
        <w:trPr>
          <w:trHeight w:val="20"/>
        </w:trPr>
        <w:tc>
          <w:tcPr>
            <w:tcW w:w="44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(2,490.1 )</w:t>
            </w:r>
          </w:p>
        </w:tc>
        <w:tc>
          <w:tcPr>
            <w:tcW w:w="140" w:type="dxa"/>
            <w:vAlign w:val="bottom"/>
          </w:tcPr>
          <w:p>
            <w:pPr>
              <w:spacing w:after="0"/>
              <w:rPr>
                <w:sz w:val="20"/>
                <w:szCs w:val="20"/>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(73.1 )</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(2,555.9 )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280" w:type="dxa"/>
            <w:vAlign w:val="bottom"/>
            <w:shd w:val="clear" w:color="auto" w:fill="CCECFF"/>
          </w:tcPr>
          <w:p>
            <w:pPr>
              <w:spacing w:after="0"/>
              <w:rPr>
                <w:sz w:val="24"/>
                <w:szCs w:val="24"/>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(501.1 )</w:t>
            </w:r>
          </w:p>
        </w:tc>
        <w:tc>
          <w:tcPr>
            <w:tcW w:w="540" w:type="dxa"/>
            <w:vAlign w:val="bottom"/>
            <w:shd w:val="clear" w:color="auto" w:fill="CCECFF"/>
          </w:tcPr>
          <w:p>
            <w:pPr>
              <w:spacing w:after="0"/>
              <w:rPr>
                <w:sz w:val="24"/>
                <w:szCs w:val="24"/>
                <w:color w:val="auto"/>
              </w:rPr>
            </w:pP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CECFF"/>
          </w:tcPr>
          <w:p>
            <w:pPr>
              <w:spacing w:after="0"/>
              <w:rPr>
                <w:sz w:val="24"/>
                <w:szCs w:val="24"/>
                <w:color w:val="auto"/>
              </w:rPr>
            </w:pPr>
          </w:p>
        </w:tc>
        <w:tc>
          <w:tcPr>
            <w:tcW w:w="540" w:type="dxa"/>
            <w:vAlign w:val="bottom"/>
            <w:shd w:val="clear" w:color="auto" w:fill="CCECFF"/>
          </w:tcPr>
          <w:p>
            <w:pPr>
              <w:spacing w:after="0"/>
              <w:rPr>
                <w:sz w:val="24"/>
                <w:szCs w:val="24"/>
                <w:color w:val="auto"/>
              </w:rPr>
            </w:pP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9,583.3</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460" w:type="dxa"/>
            <w:vAlign w:val="bottom"/>
            <w:tcBorders>
              <w:top w:val="single" w:sz="8" w:color="CCEC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CFF"/>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CFF"/>
              <w:bottom w:val="single" w:sz="8" w:color="9A9A9A"/>
            </w:tcBorders>
          </w:tcPr>
          <w:p>
            <w:pPr>
              <w:spacing w:after="0"/>
              <w:rPr>
                <w:sz w:val="24"/>
                <w:szCs w:val="24"/>
                <w:color w:val="auto"/>
              </w:rPr>
            </w:pPr>
          </w:p>
        </w:tc>
        <w:tc>
          <w:tcPr>
            <w:tcW w:w="540" w:type="dxa"/>
            <w:vAlign w:val="bottom"/>
            <w:tcBorders>
              <w:top w:val="single" w:sz="8" w:color="CCECFF"/>
              <w:bottom w:val="single" w:sz="8" w:color="9A9A9A"/>
            </w:tcBorders>
          </w:tcPr>
          <w:p>
            <w:pPr>
              <w:spacing w:after="0"/>
              <w:rPr>
                <w:sz w:val="24"/>
                <w:szCs w:val="24"/>
                <w:color w:val="auto"/>
              </w:rPr>
            </w:pPr>
          </w:p>
        </w:tc>
        <w:tc>
          <w:tcPr>
            <w:tcW w:w="160" w:type="dxa"/>
            <w:vAlign w:val="bottom"/>
            <w:tcBorders>
              <w:top w:val="single" w:sz="8" w:color="CCEC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CFF"/>
              <w:bottom w:val="single" w:sz="8" w:color="9A9A9A"/>
            </w:tcBorders>
          </w:tcPr>
          <w:p>
            <w:pPr>
              <w:spacing w:after="0"/>
              <w:rPr>
                <w:sz w:val="24"/>
                <w:szCs w:val="24"/>
                <w:color w:val="auto"/>
              </w:rPr>
            </w:pPr>
          </w:p>
        </w:tc>
        <w:tc>
          <w:tcPr>
            <w:tcW w:w="540" w:type="dxa"/>
            <w:vAlign w:val="bottom"/>
            <w:tcBorders>
              <w:top w:val="single" w:sz="8" w:color="CCECFF"/>
              <w:bottom w:val="single" w:sz="8" w:color="9A9A9A"/>
            </w:tcBorders>
          </w:tcPr>
          <w:p>
            <w:pPr>
              <w:spacing w:after="0"/>
              <w:rPr>
                <w:sz w:val="24"/>
                <w:szCs w:val="24"/>
                <w:color w:val="auto"/>
              </w:rPr>
            </w:pPr>
          </w:p>
        </w:tc>
        <w:tc>
          <w:tcPr>
            <w:tcW w:w="160" w:type="dxa"/>
            <w:vAlign w:val="bottom"/>
            <w:tcBorders>
              <w:top w:val="single" w:sz="8" w:color="CCEC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C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-5579745</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-5579745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-5579745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-5579745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-4636770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-4619625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-4636770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-4619625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-4636770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-4619625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-3994150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-3994150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-3994150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-3368040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-3368040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-3368040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-710565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-710565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-710565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-385445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-385445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-368300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-385445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-368300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 Forma Transaction Accounting</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Home</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5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CommScope</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Business (a)</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5,519.4</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(916.1 )</w:t>
            </w:r>
          </w:p>
        </w:tc>
        <w:tc>
          <w:tcPr>
            <w:tcW w:w="18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(761.1 )</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(155.0 )</w:t>
            </w:r>
          </w:p>
        </w:tc>
        <w:tc>
          <w:tcPr>
            <w:tcW w:w="18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(76.4 )</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(76.5 )</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(77.2 )</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(469.1 )</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transition services agreement, net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(705.5 )</w:t>
            </w:r>
          </w:p>
        </w:tc>
        <w:tc>
          <w:tcPr>
            <w:tcW w:w="18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5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(601.1 )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(504.9 )</w:t>
            </w:r>
          </w:p>
        </w:tc>
        <w:tc>
          <w:tcPr>
            <w:tcW w:w="1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(504.9 )</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7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(1,083.7 )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(532.8 )</w:t>
            </w:r>
          </w:p>
        </w:tc>
        <w:tc>
          <w:tcPr>
            <w:tcW w:w="0" w:type="dxa"/>
            <w:vAlign w:val="bottom"/>
          </w:tcPr>
          <w:p>
            <w:pPr>
              <w:spacing w:after="0"/>
              <w:rPr>
                <w:sz w:val="1"/>
                <w:szCs w:val="1"/>
                <w:color w:val="auto"/>
              </w:rPr>
            </w:pPr>
          </w:p>
        </w:tc>
      </w:tr>
      <w:tr>
        <w:trPr>
          <w:trHeight w:val="243"/>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(128.1 )</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(0.3 )</w:t>
            </w:r>
          </w:p>
        </w:tc>
        <w:tc>
          <w:tcPr>
            <w:tcW w:w="840" w:type="dxa"/>
            <w:vAlign w:val="bottom"/>
            <w:gridSpan w:val="3"/>
            <w:shd w:val="clear" w:color="auto" w:fill="CCECFF"/>
          </w:tcPr>
          <w:p>
            <w:pPr>
              <w:jc w:val="right"/>
              <w:ind w:right="460"/>
              <w:spacing w:after="0"/>
              <w:rPr>
                <w:sz w:val="20"/>
                <w:szCs w:val="20"/>
                <w:color w:val="auto"/>
              </w:rPr>
            </w:pPr>
            <w:r>
              <w:rPr>
                <w:rFonts w:ascii="Times New Roman" w:cs="Times New Roman" w:eastAsia="Times New Roman" w:hAnsi="Times New Roman"/>
                <w:sz w:val="18"/>
                <w:szCs w:val="18"/>
                <w:color w:val="auto"/>
              </w:rPr>
              <w:t>(g)</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(925.7 )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(503.2 )</w:t>
            </w:r>
          </w:p>
        </w:tc>
        <w:tc>
          <w:tcPr>
            <w:tcW w:w="0" w:type="dxa"/>
            <w:vAlign w:val="bottom"/>
          </w:tcPr>
          <w:p>
            <w:pPr>
              <w:spacing w:after="0"/>
              <w:rPr>
                <w:sz w:val="1"/>
                <w:szCs w:val="1"/>
                <w:color w:val="auto"/>
              </w:rPr>
            </w:pPr>
          </w:p>
        </w:tc>
      </w:tr>
      <w:tr>
        <w:trPr>
          <w:trHeight w:val="243"/>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10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(45.9 )</w:t>
            </w:r>
          </w:p>
        </w:tc>
        <w:tc>
          <w:tcPr>
            <w:tcW w:w="14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0"/>
        </w:trPr>
        <w:tc>
          <w:tcPr>
            <w:tcW w:w="45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(549.1 )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(4.62 )</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(4.62 )</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4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-3042920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-3042920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-3042920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-2416810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-2416810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-2416810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-2099310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-2099310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-2099310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-1782445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-1782445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-1782445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 Forma Transaction Accounting</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the Home</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CommScope</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Business (a)</w:t>
            </w:r>
          </w:p>
        </w:tc>
        <w:tc>
          <w:tcPr>
            <w:tcW w:w="24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9,228.1</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(1,703.4 )</w:t>
            </w:r>
          </w:p>
        </w:tc>
        <w:tc>
          <w:tcPr>
            <w:tcW w:w="640" w:type="dxa"/>
            <w:vAlign w:val="bottom"/>
            <w:shd w:val="clear" w:color="auto" w:fill="CCECFF"/>
          </w:tcPr>
          <w:p>
            <w:pPr>
              <w:spacing w:after="0"/>
              <w:rPr>
                <w:sz w:val="20"/>
                <w:szCs w:val="20"/>
                <w:color w:val="auto"/>
              </w:rPr>
            </w:pPr>
          </w:p>
        </w:tc>
        <w:tc>
          <w:tcPr>
            <w:tcW w:w="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(1,493.2 )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(210.2 )</w:t>
            </w:r>
          </w:p>
        </w:tc>
        <w:tc>
          <w:tcPr>
            <w:tcW w:w="6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2,593.9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(94.1 )</w:t>
            </w: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(113.8 )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(103.0 )</w:t>
            </w: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transition services agreement, net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(31.2 )</w:t>
            </w:r>
          </w:p>
        </w:tc>
        <w:tc>
          <w:tcPr>
            <w:tcW w:w="8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3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(310.9 )</w:t>
            </w:r>
          </w:p>
        </w:tc>
        <w:tc>
          <w:tcPr>
            <w:tcW w:w="6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(31.2 )</w:t>
            </w:r>
          </w:p>
        </w:tc>
        <w:tc>
          <w:tcPr>
            <w:tcW w:w="6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(713.8 )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(581.9 )</w:t>
            </w: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(0.5 )</w:t>
            </w: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(588.9 )</w:t>
            </w:r>
          </w:p>
        </w:tc>
        <w:tc>
          <w:tcPr>
            <w:tcW w:w="140" w:type="dxa"/>
            <w:vAlign w:val="bottom"/>
          </w:tcPr>
          <w:p>
            <w:pPr>
              <w:spacing w:after="0"/>
              <w:rPr>
                <w:sz w:val="20"/>
                <w:szCs w:val="20"/>
                <w:color w:val="auto"/>
              </w:rPr>
            </w:pPr>
          </w:p>
        </w:tc>
        <w:tc>
          <w:tcPr>
            <w:tcW w:w="13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(588.9 )</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6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6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(1,300.0 )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(1,168.6 )</w:t>
            </w:r>
          </w:p>
        </w:tc>
        <w:tc>
          <w:tcPr>
            <w:tcW w:w="0" w:type="dxa"/>
            <w:vAlign w:val="bottom"/>
          </w:tcPr>
          <w:p>
            <w:pPr>
              <w:spacing w:after="0"/>
              <w:rPr>
                <w:sz w:val="1"/>
                <w:szCs w:val="1"/>
                <w:color w:val="auto"/>
              </w:rPr>
            </w:pPr>
          </w:p>
        </w:tc>
      </w:tr>
      <w:tr>
        <w:trPr>
          <w:trHeight w:val="243"/>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(12.0 )</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(7.6 )</w:t>
            </w:r>
          </w:p>
        </w:tc>
        <w:tc>
          <w:tcPr>
            <w:tcW w:w="88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(g)</w:t>
            </w: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(1,286.9 )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(1,175.1 )</w:t>
            </w:r>
          </w:p>
        </w:tc>
        <w:tc>
          <w:tcPr>
            <w:tcW w:w="0" w:type="dxa"/>
            <w:vAlign w:val="bottom"/>
          </w:tcPr>
          <w:p>
            <w:pPr>
              <w:spacing w:after="0"/>
              <w:rPr>
                <w:sz w:val="1"/>
                <w:szCs w:val="1"/>
                <w:color w:val="auto"/>
              </w:rPr>
            </w:pPr>
          </w:p>
        </w:tc>
      </w:tr>
      <w:tr>
        <w:trPr>
          <w:trHeight w:val="243"/>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(59.0 )</w:t>
            </w:r>
          </w:p>
        </w:tc>
        <w:tc>
          <w:tcPr>
            <w:tcW w:w="14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0"/>
        </w:trPr>
        <w:tc>
          <w:tcPr>
            <w:tcW w:w="4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(1,345.9 )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(1,234.1 )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(6.49 )</w:t>
            </w:r>
          </w:p>
        </w:tc>
        <w:tc>
          <w:tcPr>
            <w:tcW w:w="14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8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(6.49 )</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4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-3042285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-3042285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-3042285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-2416810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-2416810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-2416810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-2099310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-2099310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-2099310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-1782445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-1782445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-1782445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Pro Forma Transaction Accounting</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3"/>
          </w:tcPr>
          <w:p>
            <w:pPr>
              <w:jc w:val="center"/>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8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of</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the Home</w:t>
            </w: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2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CommScope</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Business (a)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8,586.7</w:t>
            </w:r>
          </w:p>
        </w:tc>
        <w:tc>
          <w:tcPr>
            <w:tcW w:w="32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(1,849.4 )</w:t>
            </w:r>
          </w:p>
        </w:tc>
        <w:tc>
          <w:tcPr>
            <w:tcW w:w="220" w:type="dxa"/>
            <w:vAlign w:val="bottom"/>
            <w:shd w:val="clear" w:color="auto" w:fill="CCECFF"/>
          </w:tcPr>
          <w:p>
            <w:pPr>
              <w:spacing w:after="0"/>
              <w:rPr>
                <w:sz w:val="20"/>
                <w:szCs w:val="20"/>
                <w:color w:val="auto"/>
              </w:rPr>
            </w:pPr>
          </w:p>
        </w:tc>
        <w:tc>
          <w:tcPr>
            <w:tcW w:w="13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6,737.3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(1,604.5 )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3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(244.9 )</w:t>
            </w:r>
          </w:p>
        </w:tc>
        <w:tc>
          <w:tcPr>
            <w:tcW w:w="22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(150.9 )</w:t>
            </w: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(103.0 )</w:t>
            </w: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2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(392.6 )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CFF"/>
          </w:tcPr>
          <w:p>
            <w:pPr>
              <w:spacing w:after="0"/>
              <w:rPr>
                <w:sz w:val="20"/>
                <w:szCs w:val="20"/>
                <w:color w:val="auto"/>
              </w:rPr>
            </w:pP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(23.8 )</w:t>
            </w: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CFF"/>
          </w:tcPr>
          <w:p>
            <w:pPr>
              <w:spacing w:after="0"/>
              <w:rPr>
                <w:sz w:val="21"/>
                <w:szCs w:val="21"/>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(561.2 )</w:t>
            </w:r>
          </w:p>
        </w:tc>
        <w:tc>
          <w:tcPr>
            <w:tcW w:w="220" w:type="dxa"/>
            <w:vAlign w:val="bottom"/>
            <w:shd w:val="clear" w:color="auto" w:fill="CCECFF"/>
          </w:tcPr>
          <w:p>
            <w:pPr>
              <w:spacing w:after="0"/>
              <w:rPr>
                <w:sz w:val="21"/>
                <w:szCs w:val="21"/>
                <w:color w:val="auto"/>
              </w:rPr>
            </w:pPr>
          </w:p>
        </w:tc>
        <w:tc>
          <w:tcPr>
            <w:tcW w:w="1800" w:type="dxa"/>
            <w:vAlign w:val="bottom"/>
            <w:gridSpan w:val="3"/>
            <w:shd w:val="clear" w:color="auto" w:fill="CCEC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(561.2 )</w:t>
            </w: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(534.5 )</w:t>
            </w:r>
          </w:p>
        </w:tc>
        <w:tc>
          <w:tcPr>
            <w:tcW w:w="220" w:type="dxa"/>
            <w:vAlign w:val="bottom"/>
            <w:shd w:val="clear" w:color="auto" w:fill="CCECFF"/>
          </w:tcPr>
          <w:p>
            <w:pPr>
              <w:spacing w:after="0"/>
              <w:rPr>
                <w:sz w:val="20"/>
                <w:szCs w:val="20"/>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(389.4 )</w:t>
            </w: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(33.7 )</w:t>
            </w:r>
          </w:p>
        </w:tc>
        <w:tc>
          <w:tcPr>
            <w:tcW w:w="220" w:type="dxa"/>
            <w:vAlign w:val="bottom"/>
          </w:tcPr>
          <w:p>
            <w:pPr>
              <w:spacing w:after="0"/>
              <w:rPr>
                <w:sz w:val="20"/>
                <w:szCs w:val="20"/>
                <w:color w:val="auto"/>
              </w:rPr>
            </w:pPr>
          </w:p>
        </w:tc>
        <w:tc>
          <w:tcPr>
            <w:tcW w:w="13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(f)</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(462.6 )</w:t>
            </w:r>
          </w:p>
        </w:tc>
        <w:tc>
          <w:tcPr>
            <w:tcW w:w="220" w:type="dxa"/>
            <w:vAlign w:val="bottom"/>
            <w:shd w:val="clear" w:color="auto" w:fill="CCECFF"/>
          </w:tcPr>
          <w:p>
            <w:pPr>
              <w:spacing w:after="0"/>
              <w:rPr>
                <w:sz w:val="20"/>
                <w:szCs w:val="20"/>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(351.2 )</w:t>
            </w: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1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(57.3 )</w:t>
            </w:r>
          </w:p>
        </w:tc>
        <w:tc>
          <w:tcPr>
            <w:tcW w:w="220" w:type="dxa"/>
            <w:vAlign w:val="bottom"/>
          </w:tcPr>
          <w:p>
            <w:pPr>
              <w:spacing w:after="0"/>
              <w:rPr>
                <w:sz w:val="20"/>
                <w:szCs w:val="20"/>
                <w:color w:val="auto"/>
              </w:rPr>
            </w:pPr>
          </w:p>
        </w:tc>
        <w:tc>
          <w:tcPr>
            <w:tcW w:w="18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(519.9 )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13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(408.5 )</w:t>
            </w:r>
          </w:p>
        </w:tc>
        <w:tc>
          <w:tcPr>
            <w:tcW w:w="0" w:type="dxa"/>
            <w:vAlign w:val="bottom"/>
          </w:tcPr>
          <w:p>
            <w:pPr>
              <w:spacing w:after="0"/>
              <w:rPr>
                <w:sz w:val="1"/>
                <w:szCs w:val="1"/>
                <w:color w:val="auto"/>
              </w:rPr>
            </w:pPr>
          </w:p>
        </w:tc>
      </w:tr>
      <w:tr>
        <w:trPr>
          <w:trHeight w:val="228"/>
        </w:trPr>
        <w:tc>
          <w:tcPr>
            <w:tcW w:w="4980" w:type="dxa"/>
            <w:vAlign w:val="bottom"/>
            <w:tcBorders>
              <w:top w:val="single" w:sz="8" w:color="CCEC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CCEC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920" w:type="dxa"/>
            <w:vAlign w:val="bottom"/>
            <w:tcBorders>
              <w:top w:val="single" w:sz="8" w:color="CCECFF"/>
            </w:tcBorders>
          </w:tcPr>
          <w:p>
            <w:pPr>
              <w:spacing w:after="0"/>
              <w:rPr>
                <w:sz w:val="19"/>
                <w:szCs w:val="19"/>
                <w:color w:val="auto"/>
              </w:rPr>
            </w:pPr>
          </w:p>
        </w:tc>
        <w:tc>
          <w:tcPr>
            <w:tcW w:w="18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(2.55 )</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(2.55 )</w:t>
            </w:r>
          </w:p>
        </w:tc>
        <w:tc>
          <w:tcPr>
            <w:tcW w:w="22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3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4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-3205480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-3205480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-1619250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-1602105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-1619250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-1602105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 Forma Transaction Accounting</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the Home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CommScope</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Business (a)</w:t>
            </w:r>
          </w:p>
        </w:tc>
        <w:tc>
          <w:tcPr>
            <w:tcW w:w="3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8,435.9</w:t>
            </w:r>
          </w:p>
        </w:tc>
        <w:tc>
          <w:tcPr>
            <w:tcW w:w="32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(2,407.5 )</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(2,010.4 )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3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(397.1 )</w:t>
            </w:r>
          </w:p>
        </w:tc>
        <w:tc>
          <w:tcPr>
            <w:tcW w:w="6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(81.9 )</w:t>
            </w: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(148.2 )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(103.0 )</w:t>
            </w: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(206.7 )</w:t>
            </w: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(564.7 )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shd w:val="clear" w:color="auto" w:fill="CCECFF"/>
          </w:tcPr>
          <w:p>
            <w:pPr>
              <w:spacing w:after="0"/>
              <w:rPr>
                <w:sz w:val="20"/>
                <w:szCs w:val="20"/>
                <w:color w:val="auto"/>
              </w:rPr>
            </w:pP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(51.8 )</w:t>
            </w:r>
          </w:p>
        </w:tc>
        <w:tc>
          <w:tcPr>
            <w:tcW w:w="140" w:type="dxa"/>
            <w:vAlign w:val="bottom"/>
            <w:shd w:val="clear" w:color="auto" w:fill="CCECFF"/>
          </w:tcPr>
          <w:p>
            <w:pPr>
              <w:spacing w:after="0"/>
              <w:rPr>
                <w:sz w:val="20"/>
                <w:szCs w:val="20"/>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3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(29.3 )</w:t>
            </w:r>
          </w:p>
        </w:tc>
        <w:tc>
          <w:tcPr>
            <w:tcW w:w="1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47"/>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CFF"/>
          </w:tcPr>
          <w:p>
            <w:pPr>
              <w:spacing w:after="0"/>
              <w:rPr>
                <w:sz w:val="21"/>
                <w:szCs w:val="21"/>
                <w:color w:val="auto"/>
              </w:rPr>
            </w:pP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(577.8 )</w:t>
            </w: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(577.8 )</w:t>
            </w: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CFF"/>
          </w:tcPr>
          <w:p>
            <w:pPr>
              <w:spacing w:after="0"/>
              <w:rPr>
                <w:sz w:val="20"/>
                <w:szCs w:val="20"/>
                <w:color w:val="auto"/>
              </w:rPr>
            </w:pP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(654.5 )</w:t>
            </w:r>
          </w:p>
        </w:tc>
        <w:tc>
          <w:tcPr>
            <w:tcW w:w="140" w:type="dxa"/>
            <w:vAlign w:val="bottom"/>
            <w:shd w:val="clear" w:color="auto" w:fill="CCECFF"/>
          </w:tcPr>
          <w:p>
            <w:pPr>
              <w:spacing w:after="0"/>
              <w:rPr>
                <w:sz w:val="20"/>
                <w:szCs w:val="20"/>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(487.2 )</w:t>
            </w: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CFF"/>
          </w:tcPr>
          <w:p>
            <w:pPr>
              <w:spacing w:after="0"/>
              <w:rPr>
                <w:sz w:val="20"/>
                <w:szCs w:val="20"/>
                <w:color w:val="auto"/>
              </w:rPr>
            </w:pP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(573.4 )</w:t>
            </w:r>
          </w:p>
        </w:tc>
        <w:tc>
          <w:tcPr>
            <w:tcW w:w="140" w:type="dxa"/>
            <w:vAlign w:val="bottom"/>
            <w:shd w:val="clear" w:color="auto" w:fill="CCECFF"/>
          </w:tcPr>
          <w:p>
            <w:pPr>
              <w:spacing w:after="0"/>
              <w:rPr>
                <w:sz w:val="20"/>
                <w:szCs w:val="20"/>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3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(392.7 )</w:t>
            </w: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(56.1 )</w:t>
            </w:r>
          </w:p>
        </w:tc>
        <w:tc>
          <w:tcPr>
            <w:tcW w:w="14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(629.5 )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300" w:type="dxa"/>
            <w:vAlign w:val="bottom"/>
            <w:shd w:val="clear" w:color="auto" w:fill="CCECFF"/>
          </w:tcPr>
          <w:p>
            <w:pPr>
              <w:spacing w:after="0"/>
              <w:rPr>
                <w:sz w:val="24"/>
                <w:szCs w:val="24"/>
                <w:color w:val="auto"/>
              </w:rPr>
            </w:pP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(448.8 )</w:t>
            </w:r>
          </w:p>
        </w:tc>
        <w:tc>
          <w:tcPr>
            <w:tcW w:w="0" w:type="dxa"/>
            <w:vAlign w:val="bottom"/>
          </w:tcPr>
          <w:p>
            <w:pPr>
              <w:spacing w:after="0"/>
              <w:rPr>
                <w:sz w:val="1"/>
                <w:szCs w:val="1"/>
                <w:color w:val="auto"/>
              </w:rPr>
            </w:pPr>
          </w:p>
        </w:tc>
      </w:tr>
      <w:tr>
        <w:trPr>
          <w:trHeight w:val="228"/>
        </w:trPr>
        <w:tc>
          <w:tcPr>
            <w:tcW w:w="5500" w:type="dxa"/>
            <w:vAlign w:val="bottom"/>
            <w:tcBorders>
              <w:top w:val="single" w:sz="8" w:color="CCEC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00" w:type="dxa"/>
            <w:vAlign w:val="bottom"/>
            <w:tcBorders>
              <w:top w:val="single" w:sz="8" w:color="CCECFF"/>
            </w:tcBorders>
          </w:tcPr>
          <w:p>
            <w:pPr>
              <w:spacing w:after="0"/>
              <w:rPr>
                <w:sz w:val="19"/>
                <w:szCs w:val="19"/>
                <w:color w:val="auto"/>
              </w:rPr>
            </w:pPr>
          </w:p>
        </w:tc>
        <w:tc>
          <w:tcPr>
            <w:tcW w:w="66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4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(3.20 )</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47"/>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(3.20 )</w:t>
            </w:r>
          </w:p>
        </w:tc>
        <w:tc>
          <w:tcPr>
            <w:tcW w:w="140" w:type="dxa"/>
            <w:vAlign w:val="bottom"/>
            <w:shd w:val="clear" w:color="auto" w:fill="CCECFF"/>
          </w:tcPr>
          <w:p>
            <w:pPr>
              <w:spacing w:after="0"/>
              <w:rPr>
                <w:sz w:val="21"/>
                <w:szCs w:val="21"/>
                <w:color w:val="auto"/>
              </w:rPr>
            </w:pPr>
          </w:p>
        </w:tc>
        <w:tc>
          <w:tcPr>
            <w:tcW w:w="14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4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4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5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-3205480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-3205480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-1619250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-1602105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-1619250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-1602105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1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PRESENTATION</w:t>
      </w:r>
    </w:p>
    <w:p>
      <w:pPr>
        <w:spacing w:after="0" w:line="12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historical financial information as of and for the nine months ended September 30, 2023, has been derived from and should be read in conjunction with the historical unaudited condensed consolidated financial statements of CommScope, included in CommScope’s Quarterly Report on Form 10-Q for the quarterly period ended September 30, 2023, and the assumptions outlined in Note 2 below. The historical financial information for the years ended December 31, 2022, 2021, and 2020 has been derived from and should be read in conjunction with the historical audited consolidated financial statements of CommScope, included in CommScope’s Annual Report on Form 10-K for the year ended December 31, 2022 and the assumptions outlined in Note 2 below.</w:t>
      </w:r>
    </w:p>
    <w:p>
      <w:pPr>
        <w:spacing w:after="0" w:line="7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ADJUSTMENTS AND ASSUMPTIONS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adjustments have been reflected in the unaudited pro forma condensed consolidated financial statements: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w:t>
            </w:r>
          </w:p>
        </w:tc>
        <w:tc>
          <w:tcPr>
            <w:tcW w:w="104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The “Discontinued Operations of the Home Business” column in the unaudited pro forma condensed consolidated financial statements represents the</w:t>
            </w:r>
          </w:p>
        </w:tc>
      </w:tr>
      <w:tr>
        <w:trPr>
          <w:trHeight w:val="210"/>
        </w:trPr>
        <w:tc>
          <w:tcPr>
            <w:tcW w:w="840" w:type="dxa"/>
            <w:vAlign w:val="bottom"/>
          </w:tcPr>
          <w:p>
            <w:pPr>
              <w:spacing w:after="0"/>
              <w:rPr>
                <w:sz w:val="18"/>
                <w:szCs w:val="18"/>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historical financial results directly attributable to the Home Business in accordance with ASC 205. One-time transaction costs related to the Disposal of $8.2</w:t>
            </w:r>
          </w:p>
        </w:tc>
      </w:tr>
      <w:tr>
        <w:trPr>
          <w:trHeight w:val="208"/>
        </w:trPr>
        <w:tc>
          <w:tcPr>
            <w:tcW w:w="840" w:type="dxa"/>
            <w:vAlign w:val="bottom"/>
          </w:tcPr>
          <w:p>
            <w:pPr>
              <w:spacing w:after="0"/>
              <w:rPr>
                <w:sz w:val="18"/>
                <w:szCs w:val="18"/>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million and $3.1 million were captured within selling, general, and administrative and included in this column for unaudited pro forma condensed</w:t>
            </w:r>
          </w:p>
        </w:tc>
      </w:tr>
      <w:tr>
        <w:trPr>
          <w:trHeight w:val="210"/>
        </w:trPr>
        <w:tc>
          <w:tcPr>
            <w:tcW w:w="840" w:type="dxa"/>
            <w:vAlign w:val="bottom"/>
          </w:tcPr>
          <w:p>
            <w:pPr>
              <w:spacing w:after="0"/>
              <w:rPr>
                <w:sz w:val="18"/>
                <w:szCs w:val="18"/>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consolidated statements of operations for the nine months ended September 30, 2023, and for the year ended December 31, 2022, respectively.</w:t>
            </w:r>
          </w:p>
        </w:tc>
      </w:tr>
      <w:tr>
        <w:trPr>
          <w:trHeight w:val="505"/>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w:t>
            </w: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The unaudited pro forma condensed consolidated balance sheet reflects CommScope’s expected ownership of 25% of Vantiva’s common equity, received in</w:t>
            </w:r>
          </w:p>
        </w:tc>
      </w:tr>
      <w:tr>
        <w:trPr>
          <w:trHeight w:val="201"/>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exchange for the Home Business within other noncurrent assets. CommScope’s equity interest will be accounted for as an equity method investment under</w:t>
            </w:r>
          </w:p>
        </w:tc>
      </w:tr>
      <w:tr>
        <w:trPr>
          <w:trHeight w:val="204"/>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 xml:space="preserve">ASC 323 </w:t>
            </w:r>
            <w:r>
              <w:rPr>
                <w:rFonts w:ascii="Times New Roman" w:cs="Times New Roman" w:eastAsia="Times New Roman" w:hAnsi="Times New Roman"/>
                <w:sz w:val="16"/>
                <w:szCs w:val="16"/>
                <w:i w:val="1"/>
                <w:iCs w:val="1"/>
                <w:color w:val="auto"/>
              </w:rPr>
              <w:t>Investments – Equity Method and Joint Ventures</w:t>
            </w:r>
            <w:r>
              <w:rPr>
                <w:rFonts w:ascii="Times New Roman" w:cs="Times New Roman" w:eastAsia="Times New Roman" w:hAnsi="Times New Roman"/>
                <w:sz w:val="16"/>
                <w:szCs w:val="16"/>
                <w:color w:val="auto"/>
              </w:rPr>
              <w:t xml:space="preserve"> and its proportionate share of the income or loss of Vantiva will be reported in continuing</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operations. CommScope cannot determine what its equity method income/loss would have been as the amount of income/loss is impacted by Vantiva's fair</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value adjustments related to the Disposal, along with other factors which are unknown at this time. None of the contingent consideration, in the form of the</w:t>
            </w:r>
          </w:p>
        </w:tc>
      </w:tr>
      <w:tr>
        <w:trPr>
          <w:trHeight w:val="201"/>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$100 million earnout, has been recorded in the unaudited pro forma condensed consolidated financial statements. The Company will defer recognition of the</w:t>
            </w:r>
          </w:p>
        </w:tc>
      </w:tr>
      <w:tr>
        <w:trPr>
          <w:trHeight w:val="204"/>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earnout under ASC 450-30,</w:t>
            </w:r>
            <w:r>
              <w:rPr>
                <w:rFonts w:ascii="Times New Roman" w:cs="Times New Roman" w:eastAsia="Times New Roman" w:hAnsi="Times New Roman"/>
                <w:sz w:val="16"/>
                <w:szCs w:val="16"/>
                <w:i w:val="1"/>
                <w:iCs w:val="1"/>
                <w:color w:val="auto"/>
              </w:rPr>
              <w:t>Gain Contingencies</w:t>
            </w:r>
            <w:r>
              <w:rPr>
                <w:rFonts w:ascii="Times New Roman" w:cs="Times New Roman" w:eastAsia="Times New Roman" w:hAnsi="Times New Roman"/>
                <w:sz w:val="16"/>
                <w:szCs w:val="16"/>
                <w:color w:val="auto"/>
              </w:rPr>
              <w:t xml:space="preserve"> until the adjusted EBITDA targets are achieved, when all contingencies are resolved, and the gain is realized</w:t>
            </w:r>
          </w:p>
        </w:tc>
      </w:tr>
      <w:tr>
        <w:trPr>
          <w:trHeight w:val="210"/>
        </w:trPr>
        <w:tc>
          <w:tcPr>
            <w:tcW w:w="84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or realizable.</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05"/>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w:t>
            </w: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Estimated unaccrued one-time transaction costs of $11.5 million were recorded as an accrual in the unaudited pro forma condensed consolidated balance</w:t>
            </w:r>
          </w:p>
        </w:tc>
      </w:tr>
      <w:tr>
        <w:trPr>
          <w:trHeight w:val="210"/>
        </w:trPr>
        <w:tc>
          <w:tcPr>
            <w:tcW w:w="840" w:type="dxa"/>
            <w:vAlign w:val="bottom"/>
          </w:tcPr>
          <w:p>
            <w:pPr>
              <w:spacing w:after="0"/>
              <w:rPr>
                <w:sz w:val="18"/>
                <w:szCs w:val="18"/>
                <w:color w:val="auto"/>
              </w:rPr>
            </w:pPr>
          </w:p>
        </w:tc>
        <w:tc>
          <w:tcPr>
            <w:tcW w:w="75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sheet within accrued and other liabilities. These costs consist of accounting, financial, and legal advisory fees.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05"/>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w:t>
            </w: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In conjunction with the Disposal, the Company entered into a TSA. Under the TSA, the Company will provide and receive certain post-closing services on a</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transitional basis. The TSA has an initial term of up to 16 months for certain services and provides for options to extend services for up to two renewal terms</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of three months each. For services provided, a pro forma adjustment recognizing the related monthly fixed fee income was included in income from</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transition services agreement, net of $1.2 million and $31.2 million for the nine months ended September 30, 2023 and year ended December 31, 2022,</w:t>
            </w:r>
          </w:p>
        </w:tc>
      </w:tr>
      <w:tr>
        <w:trPr>
          <w:trHeight w:val="210"/>
        </w:trPr>
        <w:tc>
          <w:tcPr>
            <w:tcW w:w="84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13"/>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w:t>
            </w: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The adjustment made to the accumulated deficit in the unaudited pro forma condensed consolidated balance sheet consists of the following adjustments:</w:t>
            </w:r>
          </w:p>
        </w:tc>
      </w:tr>
      <w:tr>
        <w:trPr>
          <w:trHeight w:val="415"/>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6"/>
                <w:szCs w:val="16"/>
                <w:color w:val="auto"/>
              </w:rPr>
              <w:t>25% Equity interest in Vantiva</w:t>
            </w:r>
          </w:p>
        </w:tc>
        <w:tc>
          <w:tcPr>
            <w:tcW w:w="380" w:type="dxa"/>
            <w:vAlign w:val="bottom"/>
            <w:shd w:val="clear" w:color="auto" w:fill="CCEC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CFF"/>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Estimated unaccrued one-time transaction costs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(11.5 )</w:t>
            </w:r>
          </w:p>
        </w:tc>
        <w:tc>
          <w:tcPr>
            <w:tcW w:w="1400" w:type="dxa"/>
            <w:vAlign w:val="bottom"/>
          </w:tcPr>
          <w:p>
            <w:pPr>
              <w:spacing w:after="0"/>
              <w:rPr>
                <w:sz w:val="19"/>
                <w:szCs w:val="19"/>
                <w:color w:val="auto"/>
              </w:rPr>
            </w:pPr>
          </w:p>
        </w:tc>
      </w:tr>
      <w:tr>
        <w:trPr>
          <w:trHeight w:val="266"/>
        </w:trPr>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5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Pro forma adjustment to Accumulated deficit</w:t>
            </w:r>
          </w:p>
        </w:tc>
        <w:tc>
          <w:tcPr>
            <w:tcW w:w="20" w:type="dxa"/>
            <w:vAlign w:val="bottom"/>
            <w:tcBorders>
              <w:top w:val="single" w:sz="8" w:color="auto"/>
              <w:bottom w:val="single" w:sz="8" w:color="auto"/>
            </w:tcBorders>
            <w:shd w:val="clear" w:color="auto" w:fill="CCECFF"/>
          </w:tcPr>
          <w:p>
            <w:pPr>
              <w:spacing w:after="0"/>
              <w:rPr>
                <w:sz w:val="23"/>
                <w:szCs w:val="23"/>
                <w:color w:val="auto"/>
              </w:rPr>
            </w:pPr>
          </w:p>
        </w:tc>
        <w:tc>
          <w:tcPr>
            <w:tcW w:w="380" w:type="dxa"/>
            <w:vAlign w:val="bottom"/>
            <w:tcBorders>
              <w:top w:val="single" w:sz="8" w:color="auto"/>
              <w:bottom w:val="single" w:sz="8" w:color="auto"/>
            </w:tcBorders>
            <w:shd w:val="clear" w:color="auto" w:fill="CCEC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CFF"/>
            </w:tcBorders>
            <w:shd w:val="clear" w:color="auto" w:fill="CCECFF"/>
          </w:tcPr>
          <w:p>
            <w:pPr>
              <w:spacing w:after="0"/>
              <w:rPr>
                <w:sz w:val="23"/>
                <w:szCs w:val="23"/>
                <w:color w:val="auto"/>
              </w:rPr>
            </w:pPr>
          </w:p>
        </w:tc>
        <w:tc>
          <w:tcPr>
            <w:tcW w:w="1400" w:type="dxa"/>
            <w:vAlign w:val="bottom"/>
          </w:tcPr>
          <w:p>
            <w:pPr>
              <w:spacing w:after="0"/>
              <w:rPr>
                <w:sz w:val="23"/>
                <w:szCs w:val="23"/>
                <w:color w:val="auto"/>
              </w:rPr>
            </w:pPr>
          </w:p>
        </w:tc>
      </w:tr>
      <w:tr>
        <w:trPr>
          <w:trHeight w:val="483"/>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w:t>
            </w: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The income tax impacts of discontinued operations have been estimated using the applicable statutory income tax rate in the respective jurisdictions, adjusted</w:t>
            </w:r>
          </w:p>
        </w:tc>
      </w:tr>
      <w:tr>
        <w:trPr>
          <w:trHeight w:val="202"/>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for effective tax rate impacts related to goodwill impairments for which there is no tax basis, permanent differences, and income tax credits. The estimated</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income tax adjustments are subject to change and actual amounts will differ from the results reflected herein. Deferred income taxes in the unaudited pro</w:t>
            </w:r>
          </w:p>
        </w:tc>
      </w:tr>
      <w:tr>
        <w:trPr>
          <w:trHeight w:val="203"/>
        </w:trPr>
        <w:tc>
          <w:tcPr>
            <w:tcW w:w="840" w:type="dxa"/>
            <w:vAlign w:val="bottom"/>
          </w:tcPr>
          <w:p>
            <w:pPr>
              <w:spacing w:after="0"/>
              <w:rPr>
                <w:sz w:val="17"/>
                <w:szCs w:val="17"/>
                <w:color w:val="auto"/>
              </w:rPr>
            </w:pPr>
          </w:p>
        </w:tc>
        <w:tc>
          <w:tcPr>
            <w:tcW w:w="104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forma condensed consolidated balance sheet have been estimated to reflect September 30, 2023 deferred tax assets and deferred tax liabilities where buyer</w:t>
            </w:r>
          </w:p>
        </w:tc>
      </w:tr>
      <w:tr>
        <w:trPr>
          <w:trHeight w:val="210"/>
        </w:trPr>
        <w:tc>
          <w:tcPr>
            <w:tcW w:w="84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will acquire tax attributes and succeed to the tax basis of assets and liabilities.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13"/>
        </w:trPr>
        <w:tc>
          <w:tcPr>
            <w:tcW w:w="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g)</w:t>
            </w:r>
          </w:p>
        </w:tc>
        <w:tc>
          <w:tcPr>
            <w:tcW w:w="71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Represents the tax impact of the pro forma adjustments at the applicable blended statutory income tax rates.</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7"/>
        </w:trPr>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-1413510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-1396365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2024-01-16T15:37:55Z</dcterms:created>
  <dcterms:modified xsi:type="dcterms:W3CDTF">2024-01-16T15:37:55Z</dcterms:modified>
</cp:coreProperties>
</file>