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302895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158115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152400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0"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November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171450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COMMSCOPE HOLDING COMPANY, INC.</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158750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60"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3300" w:type="dxa"/>
            <w:vAlign w:val="bottom"/>
          </w:tcPr>
          <w:p>
            <w:pPr>
              <w:jc w:val="center"/>
              <w:ind w:right="779"/>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right"/>
              <w:ind w:right="1539"/>
              <w:spacing w:after="0"/>
              <w:rPr>
                <w:sz w:val="20"/>
                <w:szCs w:val="20"/>
                <w:color w:val="auto"/>
              </w:rPr>
            </w:pPr>
            <w:r>
              <w:rPr>
                <w:rFonts w:ascii="Arial" w:cs="Arial" w:eastAsia="Arial" w:hAnsi="Arial"/>
                <w:sz w:val="18"/>
                <w:szCs w:val="18"/>
                <w:b w:val="1"/>
                <w:bCs w:val="1"/>
                <w:color w:val="auto"/>
              </w:rPr>
              <w:t>001-36146</w:t>
            </w:r>
          </w:p>
        </w:tc>
        <w:tc>
          <w:tcPr>
            <w:tcW w:w="2300" w:type="dxa"/>
            <w:vAlign w:val="bottom"/>
          </w:tcPr>
          <w:p>
            <w:pPr>
              <w:jc w:val="right"/>
              <w:ind w:right="61"/>
              <w:spacing w:after="0"/>
              <w:rPr>
                <w:sz w:val="20"/>
                <w:szCs w:val="20"/>
                <w:color w:val="auto"/>
              </w:rPr>
            </w:pPr>
            <w:r>
              <w:rPr>
                <w:rFonts w:ascii="Arial" w:cs="Arial" w:eastAsia="Arial" w:hAnsi="Arial"/>
                <w:sz w:val="18"/>
                <w:szCs w:val="18"/>
                <w:b w:val="1"/>
                <w:bCs w:val="1"/>
                <w:color w:val="auto"/>
              </w:rPr>
              <w:t>27-4332098</w:t>
            </w:r>
          </w:p>
        </w:tc>
      </w:tr>
      <w:tr>
        <w:trPr>
          <w:trHeight w:val="153"/>
        </w:trPr>
        <w:tc>
          <w:tcPr>
            <w:tcW w:w="3300" w:type="dxa"/>
            <w:vAlign w:val="bottom"/>
          </w:tcPr>
          <w:p>
            <w:pPr>
              <w:jc w:val="center"/>
              <w:ind w:right="759"/>
              <w:spacing w:after="0" w:line="153" w:lineRule="exact"/>
              <w:rPr>
                <w:sz w:val="20"/>
                <w:szCs w:val="20"/>
                <w:color w:val="auto"/>
              </w:rPr>
            </w:pPr>
            <w:r>
              <w:rPr>
                <w:rFonts w:ascii="Arial" w:cs="Arial" w:eastAsia="Arial" w:hAnsi="Arial"/>
                <w:sz w:val="14"/>
                <w:szCs w:val="14"/>
                <w:b w:val="1"/>
                <w:bCs w:val="1"/>
                <w:color w:val="auto"/>
                <w:w w:val="93"/>
              </w:rPr>
              <w:t>(State or Other Jurisdiction</w:t>
            </w:r>
          </w:p>
        </w:tc>
        <w:tc>
          <w:tcPr>
            <w:tcW w:w="3680" w:type="dxa"/>
            <w:vAlign w:val="bottom"/>
          </w:tcPr>
          <w:p>
            <w:pPr>
              <w:spacing w:after="0"/>
              <w:rPr>
                <w:sz w:val="13"/>
                <w:szCs w:val="13"/>
                <w:color w:val="auto"/>
              </w:rPr>
            </w:pPr>
          </w:p>
        </w:tc>
        <w:tc>
          <w:tcPr>
            <w:tcW w:w="2300" w:type="dxa"/>
            <w:vAlign w:val="bottom"/>
          </w:tcPr>
          <w:p>
            <w:pPr>
              <w:jc w:val="center"/>
              <w:ind w:left="1081"/>
              <w:spacing w:after="0" w:line="153" w:lineRule="exact"/>
              <w:rPr>
                <w:sz w:val="20"/>
                <w:szCs w:val="20"/>
                <w:color w:val="auto"/>
              </w:rPr>
            </w:pPr>
            <w:r>
              <w:rPr>
                <w:rFonts w:ascii="Arial" w:cs="Arial" w:eastAsia="Arial" w:hAnsi="Arial"/>
                <w:sz w:val="14"/>
                <w:szCs w:val="14"/>
                <w:b w:val="1"/>
                <w:bCs w:val="1"/>
                <w:color w:val="auto"/>
                <w:w w:val="98"/>
              </w:rPr>
              <w:t>(IRS Employer</w:t>
            </w:r>
          </w:p>
        </w:tc>
      </w:tr>
      <w:tr>
        <w:trPr>
          <w:trHeight w:val="200"/>
        </w:trPr>
        <w:tc>
          <w:tcPr>
            <w:tcW w:w="3300" w:type="dxa"/>
            <w:vAlign w:val="bottom"/>
          </w:tcPr>
          <w:p>
            <w:pPr>
              <w:jc w:val="center"/>
              <w:ind w:right="779"/>
              <w:spacing w:after="0"/>
              <w:rPr>
                <w:sz w:val="20"/>
                <w:szCs w:val="20"/>
                <w:color w:val="auto"/>
              </w:rPr>
            </w:pPr>
            <w:r>
              <w:rPr>
                <w:rFonts w:ascii="Arial" w:cs="Arial" w:eastAsia="Arial" w:hAnsi="Arial"/>
                <w:sz w:val="14"/>
                <w:szCs w:val="14"/>
                <w:b w:val="1"/>
                <w:bCs w:val="1"/>
                <w:color w:val="auto"/>
                <w:w w:val="96"/>
              </w:rPr>
              <w:t>of Incorporation)</w:t>
            </w:r>
          </w:p>
        </w:tc>
        <w:tc>
          <w:tcPr>
            <w:tcW w:w="3680" w:type="dxa"/>
            <w:vAlign w:val="bottom"/>
          </w:tcPr>
          <w:p>
            <w:pPr>
              <w:jc w:val="center"/>
              <w:ind w:right="259"/>
              <w:spacing w:after="0"/>
              <w:rPr>
                <w:sz w:val="20"/>
                <w:szCs w:val="20"/>
                <w:color w:val="auto"/>
              </w:rPr>
            </w:pPr>
            <w:r>
              <w:rPr>
                <w:rFonts w:ascii="Arial" w:cs="Arial" w:eastAsia="Arial" w:hAnsi="Arial"/>
                <w:sz w:val="14"/>
                <w:szCs w:val="14"/>
                <w:b w:val="1"/>
                <w:bCs w:val="1"/>
                <w:color w:val="auto"/>
                <w:w w:val="93"/>
              </w:rPr>
              <w:t>(Commission File Number)</w:t>
            </w:r>
          </w:p>
        </w:tc>
        <w:tc>
          <w:tcPr>
            <w:tcW w:w="2300" w:type="dxa"/>
            <w:vAlign w:val="bottom"/>
          </w:tcPr>
          <w:p>
            <w:pPr>
              <w:jc w:val="center"/>
              <w:ind w:left="1101"/>
              <w:spacing w:after="0"/>
              <w:rPr>
                <w:sz w:val="20"/>
                <w:szCs w:val="20"/>
                <w:color w:val="auto"/>
              </w:rPr>
            </w:pPr>
            <w:r>
              <w:rPr>
                <w:rFonts w:ascii="Arial" w:cs="Arial" w:eastAsia="Arial" w:hAnsi="Arial"/>
                <w:sz w:val="14"/>
                <w:szCs w:val="14"/>
                <w:b w:val="1"/>
                <w:bCs w:val="1"/>
                <w:color w:val="auto"/>
                <w:w w:val="94"/>
              </w:rPr>
              <w:t>Identification No.)</w:t>
            </w:r>
          </w:p>
        </w:tc>
      </w:tr>
      <w:tr>
        <w:trPr>
          <w:trHeight w:val="425"/>
        </w:trPr>
        <w:tc>
          <w:tcPr>
            <w:tcW w:w="3300" w:type="dxa"/>
            <w:vAlign w:val="bottom"/>
          </w:tcPr>
          <w:p>
            <w:pPr>
              <w:jc w:val="center"/>
              <w:ind w:right="779"/>
              <w:spacing w:after="0"/>
              <w:rPr>
                <w:sz w:val="20"/>
                <w:szCs w:val="20"/>
                <w:color w:val="auto"/>
              </w:rPr>
            </w:pPr>
            <w:r>
              <w:rPr>
                <w:rFonts w:ascii="Arial" w:cs="Arial" w:eastAsia="Arial" w:hAnsi="Arial"/>
                <w:sz w:val="18"/>
                <w:szCs w:val="18"/>
                <w:b w:val="1"/>
                <w:bCs w:val="1"/>
                <w:color w:val="auto"/>
                <w:w w:val="91"/>
              </w:rPr>
              <w:t>3642 E. US Highway 70</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34"/>
        </w:trPr>
        <w:tc>
          <w:tcPr>
            <w:tcW w:w="3300" w:type="dxa"/>
            <w:vAlign w:val="bottom"/>
          </w:tcPr>
          <w:p>
            <w:pPr>
              <w:jc w:val="center"/>
              <w:ind w:right="759"/>
              <w:spacing w:after="0"/>
              <w:rPr>
                <w:sz w:val="20"/>
                <w:szCs w:val="20"/>
                <w:color w:val="auto"/>
              </w:rPr>
            </w:pPr>
            <w:r>
              <w:rPr>
                <w:rFonts w:ascii="Arial" w:cs="Arial" w:eastAsia="Arial" w:hAnsi="Arial"/>
                <w:sz w:val="18"/>
                <w:szCs w:val="18"/>
                <w:b w:val="1"/>
                <w:bCs w:val="1"/>
                <w:color w:val="auto"/>
                <w:w w:val="93"/>
              </w:rPr>
              <w:t>Claremont, North Carolina</w:t>
            </w:r>
          </w:p>
        </w:tc>
        <w:tc>
          <w:tcPr>
            <w:tcW w:w="3680" w:type="dxa"/>
            <w:vAlign w:val="bottom"/>
          </w:tcPr>
          <w:p>
            <w:pPr>
              <w:spacing w:after="0"/>
              <w:rPr>
                <w:sz w:val="20"/>
                <w:szCs w:val="20"/>
                <w:color w:val="auto"/>
              </w:rPr>
            </w:pPr>
          </w:p>
        </w:tc>
        <w:tc>
          <w:tcPr>
            <w:tcW w:w="2300" w:type="dxa"/>
            <w:vAlign w:val="bottom"/>
          </w:tcPr>
          <w:p>
            <w:pPr>
              <w:jc w:val="right"/>
              <w:ind w:right="261"/>
              <w:spacing w:after="0"/>
              <w:rPr>
                <w:sz w:val="20"/>
                <w:szCs w:val="20"/>
                <w:color w:val="auto"/>
              </w:rPr>
            </w:pPr>
            <w:r>
              <w:rPr>
                <w:rFonts w:ascii="Arial" w:cs="Arial" w:eastAsia="Arial" w:hAnsi="Arial"/>
                <w:sz w:val="18"/>
                <w:szCs w:val="18"/>
                <w:b w:val="1"/>
                <w:bCs w:val="1"/>
                <w:color w:val="auto"/>
              </w:rPr>
              <w:t>28610</w:t>
            </w:r>
          </w:p>
        </w:tc>
      </w:tr>
      <w:tr>
        <w:trPr>
          <w:trHeight w:val="190"/>
        </w:trPr>
        <w:tc>
          <w:tcPr>
            <w:tcW w:w="3300" w:type="dxa"/>
            <w:vAlign w:val="bottom"/>
          </w:tcPr>
          <w:p>
            <w:pPr>
              <w:jc w:val="center"/>
              <w:ind w:right="7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680" w:type="dxa"/>
            <w:vAlign w:val="bottom"/>
          </w:tcPr>
          <w:p>
            <w:pPr>
              <w:spacing w:after="0"/>
              <w:rPr>
                <w:sz w:val="16"/>
                <w:szCs w:val="16"/>
                <w:color w:val="auto"/>
              </w:rPr>
            </w:pPr>
          </w:p>
        </w:tc>
        <w:tc>
          <w:tcPr>
            <w:tcW w:w="2300" w:type="dxa"/>
            <w:vAlign w:val="bottom"/>
          </w:tcPr>
          <w:p>
            <w:pPr>
              <w:jc w:val="center"/>
              <w:ind w:left="1081"/>
              <w:spacing w:after="0"/>
              <w:rPr>
                <w:sz w:val="20"/>
                <w:szCs w:val="20"/>
                <w:color w:val="auto"/>
              </w:rPr>
            </w:pPr>
            <w:r>
              <w:rPr>
                <w:rFonts w:ascii="Arial" w:cs="Arial" w:eastAsia="Arial" w:hAnsi="Arial"/>
                <w:sz w:val="14"/>
                <w:szCs w:val="14"/>
                <w:b w:val="1"/>
                <w:bCs w:val="1"/>
                <w:color w:val="auto"/>
                <w:w w:val="95"/>
              </w:rPr>
              <w:t>(Zip Code)</w:t>
            </w:r>
          </w:p>
        </w:tc>
      </w:tr>
    </w:tbl>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(828) 459-5000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133350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97"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8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3"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3"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3" w:lineRule="exact"/>
        <w:rPr>
          <w:rFonts w:ascii="MS PGothic" w:cs="MS PGothic" w:eastAsia="MS PGothic" w:hAnsi="MS PGothic"/>
          <w:sz w:val="18"/>
          <w:szCs w:val="18"/>
          <w:color w:val="auto"/>
        </w:rPr>
      </w:pPr>
    </w:p>
    <w:p>
      <w:pPr>
        <w:ind w:right="2740" w:firstLine="21"/>
        <w:spacing w:after="0" w:line="393" w:lineRule="auto"/>
        <w:tabs>
          <w:tab w:leader="none" w:pos="47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par value $0.01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COMM</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5"/>
              </w:rPr>
              <w:t>The NASDAQ Stock Market</w:t>
            </w:r>
          </w:p>
        </w:tc>
        <w:tc>
          <w:tcPr>
            <w:tcW w:w="0" w:type="dxa"/>
            <w:vAlign w:val="bottom"/>
          </w:tcPr>
          <w:p>
            <w:pPr>
              <w:spacing w:after="0"/>
              <w:rPr>
                <w:sz w:val="1"/>
                <w:szCs w:val="1"/>
                <w:color w:val="auto"/>
              </w:rPr>
            </w:pPr>
          </w:p>
        </w:tc>
      </w:tr>
    </w:tbl>
    <w:p>
      <w:pPr>
        <w:spacing w:after="0" w:line="11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1" w:lineRule="exact"/>
        <w:rPr>
          <w:sz w:val="24"/>
          <w:szCs w:val="24"/>
          <w:color w:val="auto"/>
        </w:rPr>
      </w:pPr>
    </w:p>
    <w:p>
      <w:pPr>
        <w:ind w:right="180"/>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On November 9, 2023 CommScope Holding Company, Inc. (the “Company” or “CommScope”) issued a press release relating to its financial results for the third quarter of 2023. A copy of the press release, which is incorporated by reference herein, is attached hereto as Exhibit 99.1. Following the publication of the press release, the Company will host an earnings call during which its financial results for the third quarter of 2023 will be discussed.</w:t>
      </w:r>
    </w:p>
    <w:p>
      <w:pPr>
        <w:spacing w:after="0" w:line="148"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The foregoing information (including the exhibit hereto)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ind w:left="120"/>
              <w:spacing w:after="0"/>
              <w:rPr>
                <w:sz w:val="20"/>
                <w:szCs w:val="20"/>
                <w:color w:val="auto"/>
              </w:rPr>
            </w:pPr>
            <w:r>
              <w:rPr>
                <w:rFonts w:ascii="Arial" w:cs="Arial" w:eastAsia="Arial" w:hAnsi="Arial"/>
                <w:sz w:val="14"/>
                <w:szCs w:val="14"/>
                <w:b w:val="1"/>
                <w:bCs w:val="1"/>
                <w:color w:val="auto"/>
              </w:rPr>
              <w:t>Exhibit.</w:t>
            </w:r>
          </w:p>
        </w:tc>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190"/>
        </w:trPr>
        <w:tc>
          <w:tcPr>
            <w:tcW w:w="1460" w:type="dxa"/>
            <w:vAlign w:val="bottom"/>
          </w:tcPr>
          <w:p>
            <w:pPr>
              <w:ind w:left="120"/>
              <w:spacing w:after="0" w:line="189" w:lineRule="exact"/>
              <w:rPr>
                <w:sz w:val="20"/>
                <w:szCs w:val="20"/>
                <w:color w:val="auto"/>
              </w:rPr>
            </w:pPr>
            <w:r>
              <w:rPr>
                <w:rFonts w:ascii="Arial" w:cs="Arial" w:eastAsia="Arial" w:hAnsi="Arial"/>
                <w:sz w:val="18"/>
                <w:szCs w:val="18"/>
                <w:color w:val="auto"/>
              </w:rPr>
              <w:t>99.1</w:t>
            </w:r>
          </w:p>
        </w:tc>
        <w:tc>
          <w:tcPr>
            <w:tcW w:w="9780" w:type="dxa"/>
            <w:vAlign w:val="bottom"/>
            <w:gridSpan w:val="2"/>
          </w:tcPr>
          <w:p>
            <w:pPr>
              <w:spacing w:after="0" w:line="189" w:lineRule="exact"/>
              <w:rPr>
                <w:sz w:val="20"/>
                <w:szCs w:val="20"/>
                <w:color w:val="auto"/>
              </w:rPr>
            </w:pPr>
            <w:r>
              <w:rPr>
                <w:rFonts w:ascii="Arial" w:cs="Arial" w:eastAsia="Arial" w:hAnsi="Arial"/>
                <w:sz w:val="18"/>
                <w:szCs w:val="18"/>
                <w:color w:val="0000FF"/>
              </w:rPr>
              <w:t>CommScope Holding Company, Inc. press release, dated November 9, 2023.</w:t>
            </w: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5540" w:type="dxa"/>
            <w:vAlign w:val="bottom"/>
            <w:tcBorders>
              <w:right w:val="single" w:sz="8" w:color="0000EE"/>
            </w:tcBorders>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77"/>
        </w:trPr>
        <w:tc>
          <w:tcPr>
            <w:tcW w:w="1460" w:type="dxa"/>
            <w:vAlign w:val="bottom"/>
          </w:tcPr>
          <w:p>
            <w:pPr>
              <w:ind w:left="120"/>
              <w:spacing w:after="0"/>
              <w:rPr>
                <w:sz w:val="20"/>
                <w:szCs w:val="20"/>
                <w:color w:val="auto"/>
              </w:rPr>
            </w:pPr>
            <w:r>
              <w:rPr>
                <w:rFonts w:ascii="Arial" w:cs="Arial" w:eastAsia="Arial" w:hAnsi="Arial"/>
                <w:sz w:val="18"/>
                <w:szCs w:val="18"/>
                <w:color w:val="auto"/>
              </w:rPr>
              <w:t>104</w:t>
            </w:r>
          </w:p>
        </w:tc>
        <w:tc>
          <w:tcPr>
            <w:tcW w:w="97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802"/>
        </w:trPr>
        <w:tc>
          <w:tcPr>
            <w:tcW w:w="146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ind w:left="20"/>
              <w:spacing w:after="0"/>
              <w:rPr>
                <w:sz w:val="20"/>
                <w:szCs w:val="20"/>
                <w:color w:val="auto"/>
              </w:rPr>
            </w:pPr>
            <w:r>
              <w:rPr>
                <w:rFonts w:ascii="Arial" w:cs="Arial" w:eastAsia="Arial" w:hAnsi="Arial"/>
                <w:sz w:val="18"/>
                <w:szCs w:val="18"/>
                <w:color w:val="auto"/>
              </w:rPr>
              <w:t>Dated: November 9, 2023</w:t>
            </w:r>
          </w:p>
        </w:tc>
        <w:tc>
          <w:tcPr>
            <w:tcW w:w="498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COMMSCOPE HOLDING COMPANY, INC.</w:t>
            </w:r>
          </w:p>
        </w:tc>
      </w:tr>
      <w:tr>
        <w:trPr>
          <w:trHeight w:val="492"/>
        </w:trPr>
        <w:tc>
          <w:tcPr>
            <w:tcW w:w="6260" w:type="dxa"/>
            <w:vAlign w:val="bottom"/>
          </w:tcPr>
          <w:p>
            <w:pPr>
              <w:ind w:left="572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Kyle D. Lorentzen</w:t>
            </w:r>
          </w:p>
        </w:tc>
      </w:tr>
      <w:tr>
        <w:trPr>
          <w:trHeight w:val="230"/>
        </w:trPr>
        <w:tc>
          <w:tcPr>
            <w:tcW w:w="626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340" w:type="dxa"/>
            <w:vAlign w:val="bottom"/>
          </w:tcPr>
          <w:p>
            <w:pPr>
              <w:ind w:left="160"/>
              <w:spacing w:after="0"/>
              <w:rPr>
                <w:sz w:val="20"/>
                <w:szCs w:val="20"/>
                <w:color w:val="auto"/>
              </w:rPr>
            </w:pPr>
            <w:r>
              <w:rPr>
                <w:rFonts w:ascii="Arial" w:cs="Arial" w:eastAsia="Arial" w:hAnsi="Arial"/>
                <w:sz w:val="18"/>
                <w:szCs w:val="18"/>
                <w:color w:val="auto"/>
              </w:rPr>
              <w:t>Kyle D. Lorentzen</w:t>
            </w:r>
          </w:p>
        </w:tc>
      </w:tr>
      <w:tr>
        <w:trPr>
          <w:trHeight w:val="242"/>
        </w:trPr>
        <w:tc>
          <w:tcPr>
            <w:tcW w:w="626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340" w:type="dxa"/>
            <w:vAlign w:val="bottom"/>
          </w:tcPr>
          <w:p>
            <w:pPr>
              <w:ind w:left="160"/>
              <w:spacing w:after="0"/>
              <w:rPr>
                <w:sz w:val="20"/>
                <w:szCs w:val="20"/>
                <w:color w:val="auto"/>
              </w:rPr>
            </w:pPr>
            <w:r>
              <w:rPr>
                <w:rFonts w:ascii="Arial" w:cs="Arial" w:eastAsia="Arial" w:hAnsi="Arial"/>
                <w:sz w:val="18"/>
                <w:szCs w:val="18"/>
                <w:color w:val="auto"/>
              </w:rPr>
              <w:t>Executive Vice President and</w:t>
            </w:r>
          </w:p>
        </w:tc>
      </w:tr>
      <w:tr>
        <w:trPr>
          <w:trHeight w:val="243"/>
        </w:trPr>
        <w:tc>
          <w:tcPr>
            <w:tcW w:w="6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r>
        <w:trPr>
          <w:trHeight w:val="951"/>
        </w:trPr>
        <w:tc>
          <w:tcPr>
            <w:tcW w:w="6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 w:name="page4"/>
    <w:bookmarkEnd w:id="3"/>
    <w:p>
      <w:pPr>
        <w:jc w:val="right"/>
        <w:ind w:right="10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154305</wp:posOffset>
            </wp:positionV>
            <wp:extent cx="5342890" cy="676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2890" cy="67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CommScope Reports Third Quarter 2023 Results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Highlights</w:t>
      </w:r>
    </w:p>
    <w:p>
      <w:pPr>
        <w:spacing w:after="0" w:line="104" w:lineRule="exact"/>
        <w:rPr>
          <w:sz w:val="20"/>
          <w:szCs w:val="20"/>
          <w:color w:val="auto"/>
        </w:rPr>
      </w:pPr>
    </w:p>
    <w:p>
      <w:pPr>
        <w:ind w:left="760" w:hanging="378"/>
        <w:spacing w:after="0"/>
        <w:tabs>
          <w:tab w:leader="none" w:pos="760" w:val="left"/>
        </w:tabs>
        <w:numPr>
          <w:ilvl w:val="1"/>
          <w:numId w:val="2"/>
        </w:numPr>
        <w:rPr>
          <w:rFonts w:ascii="Arial" w:cs="Arial" w:eastAsia="Arial" w:hAnsi="Arial"/>
          <w:sz w:val="20"/>
          <w:szCs w:val="20"/>
          <w:color w:val="auto"/>
        </w:rPr>
      </w:pPr>
      <w:r>
        <w:rPr>
          <w:rFonts w:ascii="Arial" w:cs="Arial" w:eastAsia="Arial" w:hAnsi="Arial"/>
          <w:sz w:val="20"/>
          <w:szCs w:val="20"/>
          <w:color w:val="auto"/>
        </w:rPr>
        <w:t>Net sales of $1.600 billion</w:t>
      </w:r>
    </w:p>
    <w:p>
      <w:pPr>
        <w:spacing w:after="0" w:line="66" w:lineRule="exact"/>
        <w:rPr>
          <w:rFonts w:ascii="Arial" w:cs="Arial" w:eastAsia="Arial" w:hAnsi="Arial"/>
          <w:sz w:val="20"/>
          <w:szCs w:val="20"/>
          <w:color w:val="auto"/>
        </w:rPr>
      </w:pPr>
    </w:p>
    <w:p>
      <w:pPr>
        <w:ind w:left="760" w:hanging="378"/>
        <w:spacing w:after="0"/>
        <w:tabs>
          <w:tab w:leader="none" w:pos="760" w:val="left"/>
        </w:tabs>
        <w:numPr>
          <w:ilvl w:val="1"/>
          <w:numId w:val="2"/>
        </w:numPr>
        <w:rPr>
          <w:rFonts w:ascii="Arial" w:cs="Arial" w:eastAsia="Arial" w:hAnsi="Arial"/>
          <w:sz w:val="20"/>
          <w:szCs w:val="20"/>
          <w:color w:val="auto"/>
        </w:rPr>
      </w:pPr>
      <w:r>
        <w:rPr>
          <w:rFonts w:ascii="Arial" w:cs="Arial" w:eastAsia="Arial" w:hAnsi="Arial"/>
          <w:sz w:val="20"/>
          <w:szCs w:val="20"/>
          <w:color w:val="auto"/>
        </w:rPr>
        <w:t>Core net sales of $1.350 billion*</w:t>
      </w:r>
    </w:p>
    <w:p>
      <w:pPr>
        <w:spacing w:after="0" w:line="80" w:lineRule="exact"/>
        <w:rPr>
          <w:rFonts w:ascii="Arial" w:cs="Arial" w:eastAsia="Arial" w:hAnsi="Arial"/>
          <w:sz w:val="20"/>
          <w:szCs w:val="20"/>
          <w:color w:val="auto"/>
        </w:rPr>
      </w:pPr>
    </w:p>
    <w:p>
      <w:pPr>
        <w:ind w:left="760" w:hanging="378"/>
        <w:spacing w:after="0"/>
        <w:tabs>
          <w:tab w:leader="none" w:pos="760" w:val="left"/>
        </w:tabs>
        <w:numPr>
          <w:ilvl w:val="1"/>
          <w:numId w:val="2"/>
        </w:numPr>
        <w:rPr>
          <w:rFonts w:ascii="Arial" w:cs="Arial" w:eastAsia="Arial" w:hAnsi="Arial"/>
          <w:sz w:val="20"/>
          <w:szCs w:val="20"/>
          <w:color w:val="auto"/>
        </w:rPr>
      </w:pPr>
      <w:r>
        <w:rPr>
          <w:rFonts w:ascii="Arial" w:cs="Arial" w:eastAsia="Arial" w:hAnsi="Arial"/>
          <w:sz w:val="20"/>
          <w:szCs w:val="20"/>
          <w:color w:val="auto"/>
        </w:rPr>
        <w:t>GAAP net loss of $828.7 million, including asset impairments of $895.1 million</w:t>
      </w:r>
    </w:p>
    <w:p>
      <w:pPr>
        <w:spacing w:after="0" w:line="66" w:lineRule="exact"/>
        <w:rPr>
          <w:rFonts w:ascii="Arial" w:cs="Arial" w:eastAsia="Arial" w:hAnsi="Arial"/>
          <w:sz w:val="20"/>
          <w:szCs w:val="20"/>
          <w:color w:val="auto"/>
        </w:rPr>
      </w:pPr>
    </w:p>
    <w:p>
      <w:pPr>
        <w:ind w:left="760" w:hanging="378"/>
        <w:spacing w:after="0"/>
        <w:tabs>
          <w:tab w:leader="none" w:pos="760" w:val="left"/>
        </w:tabs>
        <w:numPr>
          <w:ilvl w:val="1"/>
          <w:numId w:val="2"/>
        </w:numPr>
        <w:rPr>
          <w:rFonts w:ascii="Arial" w:cs="Arial" w:eastAsia="Arial" w:hAnsi="Arial"/>
          <w:sz w:val="20"/>
          <w:szCs w:val="20"/>
          <w:color w:val="auto"/>
        </w:rPr>
      </w:pPr>
      <w:r>
        <w:rPr>
          <w:rFonts w:ascii="Arial" w:cs="Arial" w:eastAsia="Arial" w:hAnsi="Arial"/>
          <w:sz w:val="20"/>
          <w:szCs w:val="20"/>
          <w:color w:val="auto"/>
        </w:rPr>
        <w:t>Non-GAAP adjusted EBITDA of $248.6 million</w:t>
      </w:r>
    </w:p>
    <w:p>
      <w:pPr>
        <w:spacing w:after="0" w:line="66" w:lineRule="exact"/>
        <w:rPr>
          <w:rFonts w:ascii="Arial" w:cs="Arial" w:eastAsia="Arial" w:hAnsi="Arial"/>
          <w:sz w:val="20"/>
          <w:szCs w:val="20"/>
          <w:color w:val="auto"/>
        </w:rPr>
      </w:pPr>
    </w:p>
    <w:p>
      <w:pPr>
        <w:ind w:left="760" w:hanging="378"/>
        <w:spacing w:after="0"/>
        <w:tabs>
          <w:tab w:leader="none" w:pos="760" w:val="left"/>
        </w:tabs>
        <w:numPr>
          <w:ilvl w:val="1"/>
          <w:numId w:val="2"/>
        </w:numPr>
        <w:rPr>
          <w:rFonts w:ascii="Arial" w:cs="Arial" w:eastAsia="Arial" w:hAnsi="Arial"/>
          <w:sz w:val="20"/>
          <w:szCs w:val="20"/>
          <w:color w:val="auto"/>
        </w:rPr>
      </w:pPr>
      <w:r>
        <w:rPr>
          <w:rFonts w:ascii="Arial" w:cs="Arial" w:eastAsia="Arial" w:hAnsi="Arial"/>
          <w:sz w:val="20"/>
          <w:szCs w:val="20"/>
          <w:color w:val="auto"/>
        </w:rPr>
        <w:t>Core adjusted EBITDA of $245.5 million*</w:t>
      </w:r>
    </w:p>
    <w:p>
      <w:pPr>
        <w:spacing w:after="0" w:line="80" w:lineRule="exact"/>
        <w:rPr>
          <w:rFonts w:ascii="Arial" w:cs="Arial" w:eastAsia="Arial" w:hAnsi="Arial"/>
          <w:sz w:val="20"/>
          <w:szCs w:val="20"/>
          <w:color w:val="auto"/>
        </w:rPr>
      </w:pPr>
    </w:p>
    <w:p>
      <w:pPr>
        <w:ind w:left="760" w:hanging="378"/>
        <w:spacing w:after="0"/>
        <w:tabs>
          <w:tab w:leader="none" w:pos="760" w:val="left"/>
        </w:tabs>
        <w:numPr>
          <w:ilvl w:val="1"/>
          <w:numId w:val="2"/>
        </w:numPr>
        <w:rPr>
          <w:rFonts w:ascii="Arial" w:cs="Arial" w:eastAsia="Arial" w:hAnsi="Arial"/>
          <w:sz w:val="20"/>
          <w:szCs w:val="20"/>
          <w:color w:val="auto"/>
        </w:rPr>
      </w:pPr>
      <w:r>
        <w:rPr>
          <w:rFonts w:ascii="Arial" w:cs="Arial" w:eastAsia="Arial" w:hAnsi="Arial"/>
          <w:sz w:val="20"/>
          <w:szCs w:val="20"/>
          <w:color w:val="auto"/>
        </w:rPr>
        <w:t>Cash flow generated by operations of $138.8 million and non-GAAP adjusted free cash flow of $181.7 million</w:t>
      </w:r>
    </w:p>
    <w:p>
      <w:pPr>
        <w:spacing w:after="0" w:line="74" w:lineRule="exact"/>
        <w:rPr>
          <w:rFonts w:ascii="Arial" w:cs="Arial" w:eastAsia="Arial" w:hAnsi="Arial"/>
          <w:sz w:val="20"/>
          <w:szCs w:val="20"/>
          <w:color w:val="auto"/>
        </w:rPr>
      </w:pPr>
    </w:p>
    <w:p>
      <w:pPr>
        <w:ind w:right="180"/>
        <w:spacing w:after="0" w:line="256" w:lineRule="auto"/>
        <w:rPr>
          <w:rFonts w:ascii="Arial" w:cs="Arial" w:eastAsia="Arial" w:hAnsi="Arial"/>
          <w:sz w:val="20"/>
          <w:szCs w:val="20"/>
          <w:color w:val="auto"/>
        </w:rPr>
      </w:pPr>
      <w:r>
        <w:rPr>
          <w:rFonts w:ascii="Arial" w:cs="Arial" w:eastAsia="Arial" w:hAnsi="Arial"/>
          <w:sz w:val="16"/>
          <w:szCs w:val="16"/>
          <w:color w:val="auto"/>
        </w:rPr>
        <w:t>* References to certain supplementary “Core” financial measures reflect the results of the Connectivity and Cable Solutions (CCS), Networking, Intelligent Cellular and Security Solutions (NICS), Outdoor Wireless Networks (OWN) and Access Network Solutions segments (ANS), in the aggregate. Core financial measures exclude the results and performance of the Home Networks (Home) segment. See the third quarter segment comparison tables below showing the aggregation of the Core financial measures.</w:t>
      </w:r>
    </w:p>
    <w:p>
      <w:pPr>
        <w:spacing w:after="0" w:line="168"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b w:val="1"/>
          <w:bCs w:val="1"/>
          <w:color w:val="auto"/>
        </w:rPr>
        <w:t xml:space="preserve">CLAREMONT, NC, November 9, 2023 </w:t>
      </w:r>
      <w:r>
        <w:rPr>
          <w:rFonts w:ascii="Arial" w:cs="Arial" w:eastAsia="Arial" w:hAnsi="Arial"/>
          <w:sz w:val="20"/>
          <w:szCs w:val="20"/>
          <w:color w:val="auto"/>
        </w:rPr>
        <w:t>— CommScope Holding Company, Inc. (NASDAQ: COMM), a global leader in network</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connectivity solutions, today reported results for the quarter ended September 30, 2023.</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00" w:type="dxa"/>
            <w:vAlign w:val="bottom"/>
            <w:gridSpan w:val="4"/>
          </w:tcPr>
          <w:p>
            <w:pPr>
              <w:ind w:left="4100"/>
              <w:spacing w:after="0"/>
              <w:rPr>
                <w:sz w:val="20"/>
                <w:szCs w:val="20"/>
                <w:color w:val="auto"/>
              </w:rPr>
            </w:pPr>
            <w:r>
              <w:rPr>
                <w:rFonts w:ascii="Arial" w:cs="Arial" w:eastAsia="Arial" w:hAnsi="Arial"/>
                <w:sz w:val="18"/>
                <w:szCs w:val="18"/>
                <w:b w:val="1"/>
                <w:bCs w:val="1"/>
                <w:color w:val="auto"/>
              </w:rPr>
              <w:t>Summary of Consolidated Results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9"/>
              </w:rPr>
              <w:t>Q3</w:t>
            </w:r>
          </w:p>
        </w:tc>
        <w:tc>
          <w:tcPr>
            <w:tcW w:w="320" w:type="dxa"/>
            <w:vAlign w:val="bottom"/>
          </w:tcPr>
          <w:p>
            <w:pPr>
              <w:spacing w:after="0"/>
              <w:rPr>
                <w:sz w:val="19"/>
                <w:szCs w:val="19"/>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Q3</w:t>
            </w:r>
          </w:p>
        </w:tc>
        <w:tc>
          <w:tcPr>
            <w:tcW w:w="280" w:type="dxa"/>
            <w:vAlign w:val="bottom"/>
          </w:tcPr>
          <w:p>
            <w:pPr>
              <w:spacing w:after="0"/>
              <w:rPr>
                <w:sz w:val="19"/>
                <w:szCs w:val="19"/>
                <w:color w:val="auto"/>
              </w:rPr>
            </w:pPr>
          </w:p>
        </w:tc>
        <w:tc>
          <w:tcPr>
            <w:tcW w:w="17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 Change</w:t>
            </w:r>
          </w:p>
        </w:tc>
      </w:tr>
      <w:tr>
        <w:trPr>
          <w:trHeight w:val="239"/>
        </w:trPr>
        <w:tc>
          <w:tcPr>
            <w:tcW w:w="6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YOY</w:t>
            </w:r>
          </w:p>
        </w:tc>
        <w:tc>
          <w:tcPr>
            <w:tcW w:w="200" w:type="dxa"/>
            <w:vAlign w:val="bottom"/>
            <w:gridSpan w:val="2"/>
          </w:tcPr>
          <w:p>
            <w:pPr>
              <w:spacing w:after="0"/>
              <w:rPr>
                <w:sz w:val="20"/>
                <w:szCs w:val="20"/>
                <w:color w:val="auto"/>
              </w:rPr>
            </w:pPr>
          </w:p>
        </w:tc>
      </w:tr>
      <w:tr>
        <w:trPr>
          <w:trHeight w:val="182"/>
        </w:trPr>
        <w:tc>
          <w:tcPr>
            <w:tcW w:w="6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80" w:type="dxa"/>
            <w:vAlign w:val="bottom"/>
            <w:gridSpan w:val="8"/>
          </w:tcPr>
          <w:p>
            <w:pPr>
              <w:jc w:val="right"/>
              <w:ind w:right="1380"/>
              <w:spacing w:after="0"/>
              <w:rPr>
                <w:sz w:val="20"/>
                <w:szCs w:val="20"/>
                <w:color w:val="auto"/>
              </w:rPr>
            </w:pPr>
            <w:r>
              <w:rPr>
                <w:rFonts w:ascii="Arial" w:cs="Arial" w:eastAsia="Arial" w:hAnsi="Arial"/>
                <w:sz w:val="14"/>
                <w:szCs w:val="14"/>
                <w:b w:val="1"/>
                <w:bCs w:val="1"/>
                <w:color w:val="auto"/>
              </w:rPr>
              <w:t>(in millions, except per share amounts)</w:t>
            </w:r>
          </w:p>
        </w:tc>
      </w:tr>
      <w:tr>
        <w:trPr>
          <w:trHeight w:val="207"/>
        </w:trPr>
        <w:tc>
          <w:tcPr>
            <w:tcW w:w="61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1,599.5</w:t>
            </w:r>
          </w:p>
        </w:tc>
        <w:tc>
          <w:tcPr>
            <w:tcW w:w="320" w:type="dxa"/>
            <w:vAlign w:val="bottom"/>
          </w:tcPr>
          <w:p>
            <w:pPr>
              <w:spacing w:after="0"/>
              <w:rPr>
                <w:sz w:val="17"/>
                <w:szCs w:val="17"/>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2,381.4</w:t>
            </w:r>
          </w:p>
        </w:tc>
        <w:tc>
          <w:tcPr>
            <w:tcW w:w="2020" w:type="dxa"/>
            <w:vAlign w:val="bottom"/>
            <w:gridSpan w:val="4"/>
          </w:tcPr>
          <w:p>
            <w:pPr>
              <w:jc w:val="right"/>
              <w:spacing w:after="0"/>
              <w:rPr>
                <w:sz w:val="20"/>
                <w:szCs w:val="20"/>
                <w:color w:val="auto"/>
              </w:rPr>
            </w:pPr>
            <w:r>
              <w:rPr>
                <w:rFonts w:ascii="Arial" w:cs="Arial" w:eastAsia="Arial" w:hAnsi="Arial"/>
                <w:sz w:val="18"/>
                <w:szCs w:val="18"/>
                <w:color w:val="auto"/>
              </w:rPr>
              <w:t>(32.8 )%</w:t>
            </w:r>
          </w:p>
        </w:tc>
      </w:tr>
      <w:tr>
        <w:trPr>
          <w:trHeight w:val="252"/>
        </w:trPr>
        <w:tc>
          <w:tcPr>
            <w:tcW w:w="6120" w:type="dxa"/>
            <w:vAlign w:val="bottom"/>
          </w:tcPr>
          <w:p>
            <w:pPr>
              <w:ind w:left="20"/>
              <w:spacing w:after="0" w:line="251" w:lineRule="exact"/>
              <w:rPr>
                <w:sz w:val="20"/>
                <w:szCs w:val="20"/>
                <w:color w:val="auto"/>
              </w:rPr>
            </w:pPr>
            <w:r>
              <w:rPr>
                <w:rFonts w:ascii="Arial" w:cs="Arial" w:eastAsia="Arial" w:hAnsi="Arial"/>
                <w:sz w:val="18"/>
                <w:szCs w:val="18"/>
                <w:color w:val="auto"/>
              </w:rPr>
              <w:t xml:space="preserve">Core net sales </w:t>
            </w:r>
            <w:r>
              <w:rPr>
                <w:rFonts w:ascii="Arial" w:cs="Arial" w:eastAsia="Arial" w:hAnsi="Arial"/>
                <w:sz w:val="24"/>
                <w:szCs w:val="24"/>
                <w:color w:val="auto"/>
                <w:vertAlign w:val="superscript"/>
              </w:rPr>
              <w:t>(1)</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1,350.1</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1,990.0</w:t>
            </w: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(32.2 )</w:t>
            </w:r>
          </w:p>
        </w:tc>
        <w:tc>
          <w:tcPr>
            <w:tcW w:w="100" w:type="dxa"/>
            <w:vAlign w:val="bottom"/>
          </w:tcPr>
          <w:p>
            <w:pPr>
              <w:spacing w:after="0"/>
              <w:rPr>
                <w:sz w:val="21"/>
                <w:szCs w:val="21"/>
                <w:color w:val="auto"/>
              </w:rPr>
            </w:pPr>
          </w:p>
        </w:tc>
      </w:tr>
      <w:tr>
        <w:trPr>
          <w:trHeight w:val="229"/>
        </w:trPr>
        <w:tc>
          <w:tcPr>
            <w:tcW w:w="6120" w:type="dxa"/>
            <w:vAlign w:val="bottom"/>
            <w:shd w:val="clear" w:color="auto" w:fill="CCECFF"/>
          </w:tcPr>
          <w:p>
            <w:pPr>
              <w:ind w:left="20"/>
              <w:spacing w:after="0"/>
              <w:rPr>
                <w:sz w:val="20"/>
                <w:szCs w:val="20"/>
                <w:color w:val="auto"/>
              </w:rPr>
            </w:pPr>
            <w:r>
              <w:rPr>
                <w:rFonts w:ascii="Arial" w:cs="Arial" w:eastAsia="Arial" w:hAnsi="Arial"/>
                <w:sz w:val="18"/>
                <w:szCs w:val="18"/>
                <w:color w:val="auto"/>
              </w:rPr>
              <w:t>GAAP net income (loss)</w:t>
            </w:r>
          </w:p>
        </w:tc>
        <w:tc>
          <w:tcPr>
            <w:tcW w:w="340" w:type="dxa"/>
            <w:vAlign w:val="bottom"/>
            <w:shd w:val="clear" w:color="auto" w:fill="CCECFF"/>
          </w:tcPr>
          <w:p>
            <w:pPr>
              <w:spacing w:after="0"/>
              <w:rPr>
                <w:sz w:val="19"/>
                <w:szCs w:val="19"/>
                <w:color w:val="auto"/>
              </w:rPr>
            </w:pPr>
          </w:p>
        </w:tc>
        <w:tc>
          <w:tcPr>
            <w:tcW w:w="144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(828.7 )</w:t>
            </w:r>
          </w:p>
        </w:tc>
        <w:tc>
          <w:tcPr>
            <w:tcW w:w="320" w:type="dxa"/>
            <w:vAlign w:val="bottom"/>
            <w:shd w:val="clear" w:color="auto" w:fill="CCECFF"/>
          </w:tcPr>
          <w:p>
            <w:pPr>
              <w:spacing w:after="0"/>
              <w:rPr>
                <w:sz w:val="19"/>
                <w:szCs w:val="19"/>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22.9</w:t>
            </w:r>
          </w:p>
        </w:tc>
        <w:tc>
          <w:tcPr>
            <w:tcW w:w="1920" w:type="dxa"/>
            <w:vAlign w:val="bottom"/>
            <w:gridSpan w:val="3"/>
            <w:shd w:val="clear" w:color="auto" w:fill="CCECFF"/>
          </w:tcPr>
          <w:p>
            <w:pPr>
              <w:jc w:val="right"/>
              <w:ind w:right="40"/>
              <w:spacing w:after="0"/>
              <w:rPr>
                <w:sz w:val="20"/>
                <w:szCs w:val="20"/>
                <w:color w:val="auto"/>
              </w:rPr>
            </w:pPr>
            <w:r>
              <w:rPr>
                <w:rFonts w:ascii="Arial" w:cs="Arial" w:eastAsia="Arial" w:hAnsi="Arial"/>
                <w:sz w:val="18"/>
                <w:szCs w:val="18"/>
                <w:color w:val="auto"/>
              </w:rPr>
              <w:t>(3,718.8 )</w:t>
            </w:r>
          </w:p>
        </w:tc>
        <w:tc>
          <w:tcPr>
            <w:tcW w:w="100" w:type="dxa"/>
            <w:vAlign w:val="bottom"/>
          </w:tcPr>
          <w:p>
            <w:pPr>
              <w:spacing w:after="0"/>
              <w:rPr>
                <w:sz w:val="19"/>
                <w:szCs w:val="19"/>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GAAP net income (loss) per share</w:t>
            </w: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(3.98 )</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0.04</w:t>
            </w: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(10,050.0 )</w:t>
            </w:r>
          </w:p>
        </w:tc>
        <w:tc>
          <w:tcPr>
            <w:tcW w:w="100" w:type="dxa"/>
            <w:vAlign w:val="bottom"/>
          </w:tcPr>
          <w:p>
            <w:pPr>
              <w:spacing w:after="0"/>
              <w:rPr>
                <w:sz w:val="19"/>
                <w:szCs w:val="19"/>
                <w:color w:val="auto"/>
              </w:rPr>
            </w:pPr>
          </w:p>
        </w:tc>
      </w:tr>
      <w:tr>
        <w:trPr>
          <w:trHeight w:val="229"/>
        </w:trPr>
        <w:tc>
          <w:tcPr>
            <w:tcW w:w="6120" w:type="dxa"/>
            <w:vAlign w:val="bottom"/>
            <w:shd w:val="clear" w:color="auto" w:fill="CCECFF"/>
          </w:tcPr>
          <w:p>
            <w:pPr>
              <w:ind w:left="20"/>
              <w:spacing w:after="0" w:line="229" w:lineRule="exact"/>
              <w:rPr>
                <w:sz w:val="20"/>
                <w:szCs w:val="20"/>
                <w:color w:val="auto"/>
              </w:rPr>
            </w:pPr>
            <w:r>
              <w:rPr>
                <w:rFonts w:ascii="Arial" w:cs="Arial" w:eastAsia="Arial" w:hAnsi="Arial"/>
                <w:sz w:val="18"/>
                <w:szCs w:val="18"/>
                <w:color w:val="auto"/>
              </w:rPr>
              <w:t xml:space="preserve">Non-GAAP adjusted EBITDA </w:t>
            </w:r>
            <w:r>
              <w:rPr>
                <w:rFonts w:ascii="Arial" w:cs="Arial" w:eastAsia="Arial" w:hAnsi="Arial"/>
                <w:sz w:val="24"/>
                <w:szCs w:val="24"/>
                <w:color w:val="auto"/>
                <w:vertAlign w:val="superscript"/>
              </w:rPr>
              <w:t>(2)</w:t>
            </w:r>
          </w:p>
        </w:tc>
        <w:tc>
          <w:tcPr>
            <w:tcW w:w="340" w:type="dxa"/>
            <w:vAlign w:val="bottom"/>
            <w:shd w:val="clear" w:color="auto" w:fill="CCECFF"/>
          </w:tcPr>
          <w:p>
            <w:pPr>
              <w:spacing w:after="0"/>
              <w:rPr>
                <w:sz w:val="19"/>
                <w:szCs w:val="19"/>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248.6</w:t>
            </w:r>
          </w:p>
        </w:tc>
        <w:tc>
          <w:tcPr>
            <w:tcW w:w="32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347.6</w:t>
            </w:r>
          </w:p>
        </w:tc>
        <w:tc>
          <w:tcPr>
            <w:tcW w:w="1920" w:type="dxa"/>
            <w:vAlign w:val="bottom"/>
            <w:gridSpan w:val="3"/>
            <w:shd w:val="clear" w:color="auto" w:fill="CCECFF"/>
          </w:tcPr>
          <w:p>
            <w:pPr>
              <w:jc w:val="right"/>
              <w:ind w:right="40"/>
              <w:spacing w:after="0"/>
              <w:rPr>
                <w:sz w:val="20"/>
                <w:szCs w:val="20"/>
                <w:color w:val="auto"/>
              </w:rPr>
            </w:pPr>
            <w:r>
              <w:rPr>
                <w:rFonts w:ascii="Arial" w:cs="Arial" w:eastAsia="Arial" w:hAnsi="Arial"/>
                <w:sz w:val="18"/>
                <w:szCs w:val="18"/>
                <w:color w:val="auto"/>
              </w:rPr>
              <w:t>(28.5 )</w:t>
            </w:r>
          </w:p>
        </w:tc>
        <w:tc>
          <w:tcPr>
            <w:tcW w:w="100" w:type="dxa"/>
            <w:vAlign w:val="bottom"/>
          </w:tcPr>
          <w:p>
            <w:pPr>
              <w:spacing w:after="0"/>
              <w:rPr>
                <w:sz w:val="19"/>
                <w:szCs w:val="19"/>
                <w:color w:val="auto"/>
              </w:rPr>
            </w:pPr>
          </w:p>
        </w:tc>
      </w:tr>
      <w:tr>
        <w:trPr>
          <w:trHeight w:val="229"/>
        </w:trPr>
        <w:tc>
          <w:tcPr>
            <w:tcW w:w="612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Core adjusted EBITDA </w:t>
            </w:r>
            <w:r>
              <w:rPr>
                <w:rFonts w:ascii="Arial" w:cs="Arial" w:eastAsia="Arial" w:hAnsi="Arial"/>
                <w:sz w:val="24"/>
                <w:szCs w:val="24"/>
                <w:color w:val="auto"/>
                <w:vertAlign w:val="superscript"/>
              </w:rPr>
              <w:t>(1)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352.9</w:t>
            </w: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(30.4 )</w:t>
            </w:r>
          </w:p>
        </w:tc>
        <w:tc>
          <w:tcPr>
            <w:tcW w:w="100" w:type="dxa"/>
            <w:vAlign w:val="bottom"/>
          </w:tcPr>
          <w:p>
            <w:pPr>
              <w:spacing w:after="0"/>
              <w:rPr>
                <w:sz w:val="19"/>
                <w:szCs w:val="19"/>
                <w:color w:val="auto"/>
              </w:rPr>
            </w:pPr>
          </w:p>
        </w:tc>
      </w:tr>
      <w:tr>
        <w:trPr>
          <w:trHeight w:val="229"/>
        </w:trPr>
        <w:tc>
          <w:tcPr>
            <w:tcW w:w="6120" w:type="dxa"/>
            <w:vAlign w:val="bottom"/>
            <w:shd w:val="clear" w:color="auto" w:fill="CCECFF"/>
          </w:tcPr>
          <w:p>
            <w:pPr>
              <w:ind w:left="20"/>
              <w:spacing w:after="0" w:line="229" w:lineRule="exact"/>
              <w:rPr>
                <w:sz w:val="20"/>
                <w:szCs w:val="20"/>
                <w:color w:val="auto"/>
              </w:rPr>
            </w:pPr>
            <w:r>
              <w:rPr>
                <w:rFonts w:ascii="Arial" w:cs="Arial" w:eastAsia="Arial" w:hAnsi="Arial"/>
                <w:sz w:val="18"/>
                <w:szCs w:val="18"/>
                <w:color w:val="auto"/>
              </w:rPr>
              <w:t xml:space="preserve">Non-GAAP adjusted net income per diluted share </w:t>
            </w:r>
            <w:r>
              <w:rPr>
                <w:rFonts w:ascii="Arial" w:cs="Arial" w:eastAsia="Arial" w:hAnsi="Arial"/>
                <w:sz w:val="24"/>
                <w:szCs w:val="24"/>
                <w:color w:val="auto"/>
                <w:vertAlign w:val="superscript"/>
              </w:rPr>
              <w:t>(2)</w:t>
            </w:r>
          </w:p>
        </w:tc>
        <w:tc>
          <w:tcPr>
            <w:tcW w:w="340" w:type="dxa"/>
            <w:vAlign w:val="bottom"/>
            <w:shd w:val="clear" w:color="auto" w:fill="CCECFF"/>
          </w:tcPr>
          <w:p>
            <w:pPr>
              <w:spacing w:after="0"/>
              <w:rPr>
                <w:sz w:val="19"/>
                <w:szCs w:val="19"/>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0.13</w:t>
            </w:r>
          </w:p>
        </w:tc>
        <w:tc>
          <w:tcPr>
            <w:tcW w:w="32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0.50</w:t>
            </w:r>
          </w:p>
        </w:tc>
        <w:tc>
          <w:tcPr>
            <w:tcW w:w="1920" w:type="dxa"/>
            <w:vAlign w:val="bottom"/>
            <w:gridSpan w:val="3"/>
            <w:shd w:val="clear" w:color="auto" w:fill="CCECFF"/>
          </w:tcPr>
          <w:p>
            <w:pPr>
              <w:jc w:val="right"/>
              <w:ind w:right="40"/>
              <w:spacing w:after="0"/>
              <w:rPr>
                <w:sz w:val="20"/>
                <w:szCs w:val="20"/>
                <w:color w:val="auto"/>
              </w:rPr>
            </w:pPr>
            <w:r>
              <w:rPr>
                <w:rFonts w:ascii="Arial" w:cs="Arial" w:eastAsia="Arial" w:hAnsi="Arial"/>
                <w:sz w:val="18"/>
                <w:szCs w:val="18"/>
                <w:color w:val="auto"/>
              </w:rPr>
              <w:t>(74.0 )</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-1018540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13" w:lineRule="exact"/>
        <w:rPr>
          <w:sz w:val="20"/>
          <w:szCs w:val="20"/>
          <w:color w:val="auto"/>
        </w:rPr>
      </w:pPr>
    </w:p>
    <w:p>
      <w:pPr>
        <w:ind w:right="780" w:firstLine="8"/>
        <w:spacing w:after="0" w:line="275" w:lineRule="auto"/>
        <w:tabs>
          <w:tab w:leader="none" w:pos="243" w:val="left"/>
        </w:tabs>
        <w:numPr>
          <w:ilvl w:val="0"/>
          <w:numId w:val="3"/>
        </w:numPr>
        <w:rPr>
          <w:rFonts w:ascii="Arial" w:cs="Arial" w:eastAsia="Arial" w:hAnsi="Arial"/>
          <w:sz w:val="16"/>
          <w:szCs w:val="16"/>
          <w:color w:val="auto"/>
        </w:rPr>
      </w:pPr>
      <w:r>
        <w:rPr>
          <w:rFonts w:ascii="Arial" w:cs="Arial" w:eastAsia="Arial" w:hAnsi="Arial"/>
          <w:sz w:val="16"/>
          <w:szCs w:val="16"/>
          <w:color w:val="auto"/>
        </w:rPr>
        <w:t>“Core” financial measures reflect the results of the CCS, NICS, OWN and ANS segments, in the aggregate, and exclude the results of the Home segment. See the third quarter segment comparison tables below showing the aggregation of the Core financial measures.</w:t>
      </w:r>
    </w:p>
    <w:p>
      <w:pPr>
        <w:spacing w:after="0" w:line="9"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See “Non-GAAP Financial Measures” and “Reconciliation of GAAP Measures to Non-GAAP Adjusted Measures” below.</w:t>
      </w:r>
    </w:p>
    <w:p>
      <w:pPr>
        <w:spacing w:after="0" w:line="321" w:lineRule="exact"/>
        <w:rPr>
          <w:sz w:val="20"/>
          <w:szCs w:val="20"/>
          <w:color w:val="auto"/>
        </w:rPr>
      </w:pPr>
    </w:p>
    <w:p>
      <w:pPr>
        <w:ind w:right="100"/>
        <w:spacing w:after="0" w:line="229" w:lineRule="auto"/>
        <w:rPr>
          <w:sz w:val="20"/>
          <w:szCs w:val="20"/>
          <w:color w:val="auto"/>
        </w:rPr>
      </w:pPr>
      <w:r>
        <w:rPr>
          <w:rFonts w:ascii="Arial" w:cs="Arial" w:eastAsia="Arial" w:hAnsi="Arial"/>
          <w:sz w:val="20"/>
          <w:szCs w:val="20"/>
          <w:color w:val="auto"/>
        </w:rPr>
        <w:t>“In the third quarter, CommScope net sales declined 33% from the prior year to $1.600 billion and adjusted EBITDA declined 28% to $249 million. As discussed previously, our CCS and OWN businesses have been experiencing lower order rates since the beginning of the year and we have seen no meaningful recovery in the third quarter. In addition to the challenges we have been experiencing in CCS and OWN, we have started to see similar adjustments in ANS. We expect these difficult market conditions to continue over the next few quarters as customers manage inventories and cash. We continue to manage what we can control including costs. We are targeting an additional $ 100 million cost savings by the end of Q1 2024. Our cost actions this year will better position the Company when demand returns to more normalized levels,” said Chuck Treadway,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4" w:name="page5"/>
    <w:bookmarkEnd w:id="4"/>
    <w:p>
      <w:pPr>
        <w:spacing w:after="0" w:line="232" w:lineRule="auto"/>
        <w:rPr>
          <w:sz w:val="20"/>
          <w:szCs w:val="20"/>
          <w:color w:val="auto"/>
        </w:rPr>
      </w:pPr>
      <w:r>
        <w:rPr>
          <w:rFonts w:ascii="Arial" w:cs="Arial" w:eastAsia="Arial" w:hAnsi="Arial"/>
          <w:sz w:val="20"/>
          <w:szCs w:val="20"/>
          <w:color w:val="auto"/>
        </w:rPr>
        <w:t>“Based on current visibility driven by a weaker demand outlook for the remainder of 2023, we reduced our Core adjusted EBITDA guideposts to a range of $1.00 to $ 1.05 billion. We continued to de-lever as we repurchased and retired $26 million of our long-term debt for cash consideration of $17 million bringing the total debt repurchases to $111 million since the beginning of the year. We finished the quarter with a net leverage ratio of 6.7x. Liquidity remained strong at more than $1.29 billion including cash at quarter end of $519 million,” said Kyle Lorentzen, Chief Financial Officer.</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Impacts of Current Economic Conditions</w:t>
      </w:r>
    </w:p>
    <w:p>
      <w:pPr>
        <w:spacing w:after="0" w:line="104" w:lineRule="exact"/>
        <w:rPr>
          <w:sz w:val="20"/>
          <w:szCs w:val="20"/>
          <w:color w:val="auto"/>
        </w:rPr>
      </w:pPr>
    </w:p>
    <w:p>
      <w:pPr>
        <w:ind w:right="100"/>
        <w:spacing w:after="0" w:line="230" w:lineRule="auto"/>
        <w:rPr>
          <w:sz w:val="20"/>
          <w:szCs w:val="20"/>
          <w:color w:val="auto"/>
        </w:rPr>
      </w:pPr>
      <w:r>
        <w:rPr>
          <w:rFonts w:ascii="Arial" w:cs="Arial" w:eastAsia="Arial" w:hAnsi="Arial"/>
          <w:sz w:val="20"/>
          <w:szCs w:val="20"/>
          <w:color w:val="auto"/>
        </w:rPr>
        <w:t>Macroeconomic factors such as higher interest rates, inflation and concerns about a global economic slow-down have softened demand for CommScope’s products, with certain customers reducing purchases as they right-size their inventories and others pausing capital spending. This has negatively impacted the Company’s net sales in certain segments during the first three quarters of 2023 and may continue to negatively impact net sales during the remainder of 2023 and into the first half of 2024. Conversely, in some of CommScope’s segments, the Company has seen higher demand and favorable pricing impacts that have partially offset the impact of lower demand in its other segments. CommScope is also seeing lower input costs and has proactively implemented cost savings initiatives that have favorably impacted its profitability in 2023.</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Results and Comparisons</w:t>
      </w:r>
    </w:p>
    <w:p>
      <w:pPr>
        <w:spacing w:after="0" w:line="104" w:lineRule="exact"/>
        <w:rPr>
          <w:sz w:val="20"/>
          <w:szCs w:val="20"/>
          <w:color w:val="auto"/>
        </w:rPr>
      </w:pPr>
    </w:p>
    <w:p>
      <w:pPr>
        <w:jc w:val="both"/>
        <w:ind w:right="140"/>
        <w:spacing w:after="0" w:line="237" w:lineRule="auto"/>
        <w:rPr>
          <w:sz w:val="20"/>
          <w:szCs w:val="20"/>
          <w:color w:val="auto"/>
        </w:rPr>
      </w:pPr>
      <w:r>
        <w:rPr>
          <w:rFonts w:ascii="Arial" w:cs="Arial" w:eastAsia="Arial" w:hAnsi="Arial"/>
          <w:sz w:val="20"/>
          <w:szCs w:val="20"/>
          <w:color w:val="auto"/>
        </w:rPr>
        <w:t>Net sales in the third quarter of 2023 decreased 32.8% year-over-year to $1.600 billion. Core net sales decreased 32.2% year-over-year due to lower net sales in the CCS, OWN and ANS segments, partially offset by stronger sales in the NICS segment. Net sales decreased across all regions in the third quarter of 2023.</w:t>
      </w:r>
    </w:p>
    <w:p>
      <w:pPr>
        <w:spacing w:after="0" w:line="182"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Net loss attributable to common stockholders of $844.2 million, or $(3.98) per share, in the third quarter of 2023, decreased compared to the prior year period's net income attributable to common stockholders of $8.0 million, or $0.04 per share. In the third quarter of 2023, the Company recorded a goodwill impairment charge of $425.9 million related to the ANS reporting unit in the ANS segment and an intangible assets impairment charge of $469.2 million related to the Home segment. Asset impairment charges are not reflected in non-GAAP adjusted results. Non-GAAP adjusted net income for the third quarter of 2023 was $34.0 million, or $0.13 per share, versus $124.6 million, or $0.50 per share, in the third quarter of 2022.</w:t>
      </w:r>
    </w:p>
    <w:p>
      <w:pPr>
        <w:spacing w:after="0" w:line="182" w:lineRule="exact"/>
        <w:rPr>
          <w:sz w:val="20"/>
          <w:szCs w:val="20"/>
          <w:color w:val="auto"/>
        </w:rPr>
      </w:pPr>
    </w:p>
    <w:p>
      <w:pPr>
        <w:ind w:right="200"/>
        <w:spacing w:after="0" w:line="244" w:lineRule="auto"/>
        <w:rPr>
          <w:sz w:val="20"/>
          <w:szCs w:val="20"/>
          <w:color w:val="auto"/>
        </w:rPr>
      </w:pPr>
      <w:r>
        <w:rPr>
          <w:rFonts w:ascii="Arial" w:cs="Arial" w:eastAsia="Arial" w:hAnsi="Arial"/>
          <w:sz w:val="19"/>
          <w:szCs w:val="19"/>
          <w:color w:val="auto"/>
        </w:rPr>
        <w:t>Non-GAAP adjusted EBITDA decreased 28.5% to $ 248.6 million in the third quarter of 2023 compared to the same period last year. Non-GAAP adjusted EBITDA as a percentage of net sales increased to 15.5% in the third quarter of 2023 compared to</w:t>
      </w:r>
    </w:p>
    <w:p>
      <w:pPr>
        <w:spacing w:after="0" w:line="1"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14.6% in the same prior year period. Core segment adjusted EBITDA decreased 30.4% to $245.5 million in the third quarter of 2023 compared to the same prior year period. Core segment adjusted EBITDA as a percentage of net sales increased to 18.2% in the third quarter of 2023 compared to 17.7% in the same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Reconciliations of the reported GAAP results to non-GAAP adjusted results are included below.</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Comparisons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 by Region</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6"/>
                <w:szCs w:val="16"/>
                <w:b w:val="1"/>
                <w:bCs w:val="1"/>
                <w:color w:val="auto"/>
              </w:rPr>
              <w:t>Q3 2023</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431"/>
              <w:spacing w:after="0"/>
              <w:rPr>
                <w:sz w:val="20"/>
                <w:szCs w:val="20"/>
                <w:color w:val="auto"/>
              </w:rPr>
            </w:pPr>
            <w:r>
              <w:rPr>
                <w:rFonts w:ascii="Arial" w:cs="Arial" w:eastAsia="Arial" w:hAnsi="Arial"/>
                <w:sz w:val="16"/>
                <w:szCs w:val="16"/>
                <w:b w:val="1"/>
                <w:bCs w:val="1"/>
                <w:color w:val="auto"/>
              </w:rPr>
              <w:t>Q3 2022</w:t>
            </w:r>
          </w:p>
        </w:tc>
        <w:tc>
          <w:tcPr>
            <w:tcW w:w="32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6"/>
                <w:szCs w:val="16"/>
                <w:b w:val="1"/>
                <w:bCs w:val="1"/>
                <w:color w:val="auto"/>
              </w:rPr>
              <w:t>YOY</w:t>
            </w: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3"/>
            <w:shd w:val="clear" w:color="auto" w:fill="CCECFF"/>
          </w:tcPr>
          <w:p>
            <w:pPr>
              <w:ind w:left="20"/>
              <w:spacing w:after="0"/>
              <w:rPr>
                <w:sz w:val="20"/>
                <w:szCs w:val="20"/>
                <w:color w:val="auto"/>
              </w:rPr>
            </w:pPr>
            <w:r>
              <w:rPr>
                <w:rFonts w:ascii="Arial" w:cs="Arial" w:eastAsia="Arial" w:hAnsi="Arial"/>
                <w:sz w:val="18"/>
                <w:szCs w:val="18"/>
                <w:color w:val="auto"/>
              </w:rPr>
              <w:t>United States</w:t>
            </w:r>
          </w:p>
        </w:tc>
        <w:tc>
          <w:tcPr>
            <w:tcW w:w="820" w:type="dxa"/>
            <w:vAlign w:val="bottom"/>
            <w:shd w:val="clear" w:color="auto" w:fill="CCECFF"/>
          </w:tcPr>
          <w:p>
            <w:pPr>
              <w:jc w:val="right"/>
              <w:ind w:right="611"/>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CFF"/>
          </w:tcPr>
          <w:p>
            <w:pPr>
              <w:spacing w:after="0"/>
              <w:rPr>
                <w:sz w:val="19"/>
                <w:szCs w:val="19"/>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957.4</w:t>
            </w:r>
          </w:p>
        </w:tc>
        <w:tc>
          <w:tcPr>
            <w:tcW w:w="5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1,495.1</w:t>
            </w:r>
          </w:p>
        </w:tc>
        <w:tc>
          <w:tcPr>
            <w:tcW w:w="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260" w:type="dxa"/>
            <w:vAlign w:val="bottom"/>
            <w:gridSpan w:val="2"/>
            <w:shd w:val="clear" w:color="auto" w:fill="CCECFF"/>
          </w:tcPr>
          <w:p>
            <w:pPr>
              <w:jc w:val="center"/>
              <w:ind w:left="510"/>
              <w:spacing w:after="0"/>
              <w:rPr>
                <w:sz w:val="20"/>
                <w:szCs w:val="20"/>
                <w:color w:val="auto"/>
              </w:rPr>
            </w:pPr>
            <w:r>
              <w:rPr>
                <w:rFonts w:ascii="Arial" w:cs="Arial" w:eastAsia="Arial" w:hAnsi="Arial"/>
                <w:sz w:val="18"/>
                <w:szCs w:val="18"/>
                <w:color w:val="auto"/>
                <w:w w:val="96"/>
              </w:rPr>
              <w:t>(36.0 )</w:t>
            </w:r>
          </w:p>
        </w:tc>
        <w:tc>
          <w:tcPr>
            <w:tcW w:w="460" w:type="dxa"/>
            <w:vAlign w:val="bottom"/>
            <w:shd w:val="clear" w:color="auto" w:fill="CCECFF"/>
          </w:tcPr>
          <w:p>
            <w:pPr>
              <w:jc w:val="right"/>
              <w:ind w:right="1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Europe, Middle East and Africa</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left="510"/>
              <w:spacing w:after="0"/>
              <w:rPr>
                <w:sz w:val="20"/>
                <w:szCs w:val="20"/>
                <w:color w:val="auto"/>
              </w:rPr>
            </w:pPr>
            <w:r>
              <w:rPr>
                <w:rFonts w:ascii="Arial" w:cs="Arial" w:eastAsia="Arial" w:hAnsi="Arial"/>
                <w:sz w:val="18"/>
                <w:szCs w:val="18"/>
                <w:color w:val="auto"/>
                <w:w w:val="96"/>
              </w:rPr>
              <w:t>(24.8 )</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3"/>
            <w:shd w:val="clear" w:color="auto" w:fill="CCECFF"/>
          </w:tcPr>
          <w:p>
            <w:pPr>
              <w:ind w:left="20"/>
              <w:spacing w:after="0"/>
              <w:rPr>
                <w:sz w:val="20"/>
                <w:szCs w:val="20"/>
                <w:color w:val="auto"/>
              </w:rPr>
            </w:pPr>
            <w:r>
              <w:rPr>
                <w:rFonts w:ascii="Arial" w:cs="Arial" w:eastAsia="Arial" w:hAnsi="Arial"/>
                <w:sz w:val="18"/>
                <w:szCs w:val="18"/>
                <w:color w:val="auto"/>
              </w:rPr>
              <w:t>Asia Pacific</w:t>
            </w:r>
          </w:p>
        </w:tc>
        <w:tc>
          <w:tcPr>
            <w:tcW w:w="8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172.2</w:t>
            </w:r>
          </w:p>
        </w:tc>
        <w:tc>
          <w:tcPr>
            <w:tcW w:w="3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210.9</w:t>
            </w:r>
          </w:p>
        </w:tc>
        <w:tc>
          <w:tcPr>
            <w:tcW w:w="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260" w:type="dxa"/>
            <w:vAlign w:val="bottom"/>
            <w:gridSpan w:val="2"/>
            <w:shd w:val="clear" w:color="auto" w:fill="CCECFF"/>
          </w:tcPr>
          <w:p>
            <w:pPr>
              <w:jc w:val="center"/>
              <w:ind w:left="510"/>
              <w:spacing w:after="0"/>
              <w:rPr>
                <w:sz w:val="20"/>
                <w:szCs w:val="20"/>
                <w:color w:val="auto"/>
              </w:rPr>
            </w:pPr>
            <w:r>
              <w:rPr>
                <w:rFonts w:ascii="Arial" w:cs="Arial" w:eastAsia="Arial" w:hAnsi="Arial"/>
                <w:sz w:val="18"/>
                <w:szCs w:val="18"/>
                <w:color w:val="auto"/>
                <w:w w:val="96"/>
              </w:rPr>
              <w:t>(18.3 )</w:t>
            </w:r>
          </w:p>
        </w:tc>
        <w:tc>
          <w:tcPr>
            <w:tcW w:w="4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Caribbean and Latin America</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74.9</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left="510"/>
              <w:spacing w:after="0"/>
              <w:rPr>
                <w:sz w:val="20"/>
                <w:szCs w:val="20"/>
                <w:color w:val="auto"/>
              </w:rPr>
            </w:pPr>
            <w:r>
              <w:rPr>
                <w:rFonts w:ascii="Arial" w:cs="Arial" w:eastAsia="Arial" w:hAnsi="Arial"/>
                <w:sz w:val="18"/>
                <w:szCs w:val="18"/>
                <w:color w:val="auto"/>
                <w:w w:val="96"/>
              </w:rPr>
              <w:t>(49.6 )</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8"/>
                <w:szCs w:val="18"/>
                <w:color w:val="auto"/>
              </w:rPr>
              <w:t>Canada</w:t>
            </w:r>
          </w:p>
        </w:tc>
        <w:tc>
          <w:tcPr>
            <w:tcW w:w="820" w:type="dxa"/>
            <w:vAlign w:val="bottom"/>
            <w:tcBorders>
              <w:bottom w:val="single" w:sz="8" w:color="auto"/>
            </w:tcBorders>
            <w:shd w:val="clear" w:color="auto" w:fill="CCECFF"/>
          </w:tcPr>
          <w:p>
            <w:pPr>
              <w:spacing w:after="0"/>
              <w:rPr>
                <w:sz w:val="19"/>
                <w:szCs w:val="19"/>
                <w:color w:val="auto"/>
              </w:rPr>
            </w:pPr>
          </w:p>
        </w:tc>
        <w:tc>
          <w:tcPr>
            <w:tcW w:w="200" w:type="dxa"/>
            <w:vAlign w:val="bottom"/>
            <w:tcBorders>
              <w:bottom w:val="single" w:sz="8" w:color="auto"/>
            </w:tcBorders>
            <w:shd w:val="clear" w:color="auto" w:fill="CCECFF"/>
          </w:tcPr>
          <w:p>
            <w:pPr>
              <w:spacing w:after="0"/>
              <w:rPr>
                <w:sz w:val="19"/>
                <w:szCs w:val="19"/>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97.2</w:t>
            </w:r>
          </w:p>
        </w:tc>
        <w:tc>
          <w:tcPr>
            <w:tcW w:w="36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spacing w:after="0"/>
              <w:rPr>
                <w:sz w:val="19"/>
                <w:szCs w:val="19"/>
                <w:color w:val="auto"/>
              </w:rPr>
            </w:pPr>
          </w:p>
        </w:tc>
        <w:tc>
          <w:tcPr>
            <w:tcW w:w="340" w:type="dxa"/>
            <w:vAlign w:val="bottom"/>
            <w:tcBorders>
              <w:bottom w:val="single" w:sz="8" w:color="auto"/>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130.8</w:t>
            </w:r>
          </w:p>
        </w:tc>
        <w:tc>
          <w:tcPr>
            <w:tcW w:w="16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CCECFF"/>
            </w:tcBorders>
            <w:shd w:val="clear" w:color="auto" w:fill="CCECFF"/>
          </w:tcPr>
          <w:p>
            <w:pPr>
              <w:spacing w:after="0"/>
              <w:rPr>
                <w:sz w:val="19"/>
                <w:szCs w:val="19"/>
                <w:color w:val="auto"/>
              </w:rPr>
            </w:pPr>
          </w:p>
        </w:tc>
        <w:tc>
          <w:tcPr>
            <w:tcW w:w="1260" w:type="dxa"/>
            <w:vAlign w:val="bottom"/>
            <w:tcBorders>
              <w:bottom w:val="single" w:sz="8" w:color="CCECFF"/>
            </w:tcBorders>
            <w:gridSpan w:val="2"/>
            <w:shd w:val="clear" w:color="auto" w:fill="CCECFF"/>
          </w:tcPr>
          <w:p>
            <w:pPr>
              <w:jc w:val="center"/>
              <w:ind w:left="510"/>
              <w:spacing w:after="0"/>
              <w:rPr>
                <w:sz w:val="20"/>
                <w:szCs w:val="20"/>
                <w:color w:val="auto"/>
              </w:rPr>
            </w:pPr>
            <w:r>
              <w:rPr>
                <w:rFonts w:ascii="Arial" w:cs="Arial" w:eastAsia="Arial" w:hAnsi="Arial"/>
                <w:sz w:val="18"/>
                <w:szCs w:val="18"/>
                <w:color w:val="auto"/>
                <w:w w:val="96"/>
              </w:rPr>
              <w:t>(25.7 )</w:t>
            </w:r>
          </w:p>
        </w:tc>
        <w:tc>
          <w:tcPr>
            <w:tcW w:w="46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net sales</w:t>
            </w:r>
          </w:p>
        </w:tc>
        <w:tc>
          <w:tcPr>
            <w:tcW w:w="820" w:type="dxa"/>
            <w:vAlign w:val="bottom"/>
          </w:tcPr>
          <w:p>
            <w:pPr>
              <w:jc w:val="right"/>
              <w:ind w:right="611"/>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1,599.5</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left="510"/>
              <w:spacing w:after="0"/>
              <w:rPr>
                <w:sz w:val="20"/>
                <w:szCs w:val="20"/>
                <w:color w:val="auto"/>
              </w:rPr>
            </w:pPr>
            <w:r>
              <w:rPr>
                <w:rFonts w:ascii="Arial" w:cs="Arial" w:eastAsia="Arial" w:hAnsi="Arial"/>
                <w:sz w:val="18"/>
                <w:szCs w:val="18"/>
                <w:color w:val="auto"/>
                <w:w w:val="96"/>
              </w:rPr>
              <w:t>(32.8 )</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Segment Net Sales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line="20" w:lineRule="exact"/>
              <w:rPr>
                <w:sz w:val="1"/>
                <w:szCs w:val="1"/>
                <w:color w:val="auto"/>
              </w:rPr>
            </w:pPr>
          </w:p>
        </w:tc>
      </w:tr>
      <w:tr>
        <w:trPr>
          <w:trHeight w:val="479"/>
        </w:trPr>
        <w:tc>
          <w:tcPr>
            <w:tcW w:w="544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62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6"/>
                <w:szCs w:val="16"/>
                <w:b w:val="1"/>
                <w:bCs w:val="1"/>
                <w:color w:val="auto"/>
              </w:rPr>
              <w:t>Q3 2023</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Q3 2022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bottom w:val="single" w:sz="8" w:color="auto"/>
            </w:tcBorders>
          </w:tcPr>
          <w:p>
            <w:pPr>
              <w:jc w:val="center"/>
              <w:ind w:left="396"/>
              <w:spacing w:after="0"/>
              <w:rPr>
                <w:sz w:val="20"/>
                <w:szCs w:val="20"/>
                <w:color w:val="auto"/>
              </w:rPr>
            </w:pPr>
            <w:r>
              <w:rPr>
                <w:rFonts w:ascii="Arial" w:cs="Arial" w:eastAsia="Arial" w:hAnsi="Arial"/>
                <w:sz w:val="16"/>
                <w:szCs w:val="16"/>
                <w:b w:val="1"/>
                <w:bCs w:val="1"/>
                <w:color w:val="auto"/>
              </w:rPr>
              <w:t>YOY</w:t>
            </w: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440" w:type="dxa"/>
            <w:vAlign w:val="bottom"/>
            <w:gridSpan w:val="3"/>
            <w:shd w:val="clear" w:color="auto" w:fill="CCECFF"/>
          </w:tcPr>
          <w:p>
            <w:pPr>
              <w:ind w:left="20"/>
              <w:spacing w:after="0"/>
              <w:rPr>
                <w:sz w:val="20"/>
                <w:szCs w:val="20"/>
                <w:color w:val="auto"/>
              </w:rPr>
            </w:pPr>
            <w:r>
              <w:rPr>
                <w:rFonts w:ascii="Arial" w:cs="Arial" w:eastAsia="Arial" w:hAnsi="Arial"/>
                <w:sz w:val="18"/>
                <w:szCs w:val="18"/>
                <w:color w:val="auto"/>
              </w:rPr>
              <w:t>CCS</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CFF"/>
          </w:tcPr>
          <w:p>
            <w:pPr>
              <w:spacing w:after="0"/>
              <w:rPr>
                <w:sz w:val="20"/>
                <w:szCs w:val="20"/>
                <w:color w:val="auto"/>
              </w:rPr>
            </w:pPr>
          </w:p>
        </w:tc>
        <w:tc>
          <w:tcPr>
            <w:tcW w:w="5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632.5</w:t>
            </w:r>
          </w:p>
        </w:tc>
        <w:tc>
          <w:tcPr>
            <w:tcW w:w="340" w:type="dxa"/>
            <w:vAlign w:val="bottom"/>
            <w:shd w:val="clear" w:color="auto" w:fill="CCECFF"/>
          </w:tcPr>
          <w:p>
            <w:pPr>
              <w:spacing w:after="0"/>
              <w:rPr>
                <w:sz w:val="20"/>
                <w:szCs w:val="20"/>
                <w:color w:val="auto"/>
              </w:rPr>
            </w:pPr>
          </w:p>
        </w:tc>
        <w:tc>
          <w:tcPr>
            <w:tcW w:w="240" w:type="dxa"/>
            <w:vAlign w:val="bottom"/>
            <w:shd w:val="clear" w:color="auto" w:fill="CCEC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1,007.7</w:t>
            </w:r>
          </w:p>
        </w:tc>
        <w:tc>
          <w:tcPr>
            <w:tcW w:w="160" w:type="dxa"/>
            <w:vAlign w:val="bottom"/>
            <w:shd w:val="clear" w:color="auto" w:fill="CCECFF"/>
          </w:tcPr>
          <w:p>
            <w:pPr>
              <w:spacing w:after="0"/>
              <w:rPr>
                <w:sz w:val="20"/>
                <w:szCs w:val="20"/>
                <w:color w:val="auto"/>
              </w:rPr>
            </w:pPr>
          </w:p>
        </w:tc>
        <w:tc>
          <w:tcPr>
            <w:tcW w:w="80" w:type="dxa"/>
            <w:vAlign w:val="bottom"/>
            <w:shd w:val="clear" w:color="auto" w:fill="CCECFF"/>
          </w:tcPr>
          <w:p>
            <w:pPr>
              <w:spacing w:after="0"/>
              <w:rPr>
                <w:sz w:val="20"/>
                <w:szCs w:val="20"/>
                <w:color w:val="auto"/>
              </w:rPr>
            </w:pPr>
          </w:p>
        </w:tc>
        <w:tc>
          <w:tcPr>
            <w:tcW w:w="1640" w:type="dxa"/>
            <w:vAlign w:val="bottom"/>
            <w:gridSpan w:val="2"/>
            <w:shd w:val="clear" w:color="auto" w:fill="CCECFF"/>
          </w:tcPr>
          <w:p>
            <w:pPr>
              <w:jc w:val="right"/>
              <w:ind w:right="110"/>
              <w:spacing w:after="0"/>
              <w:rPr>
                <w:sz w:val="20"/>
                <w:szCs w:val="20"/>
                <w:color w:val="auto"/>
              </w:rPr>
            </w:pPr>
            <w:r>
              <w:rPr>
                <w:rFonts w:ascii="Arial" w:cs="Arial" w:eastAsia="Arial" w:hAnsi="Arial"/>
                <w:sz w:val="18"/>
                <w:szCs w:val="18"/>
                <w:color w:val="auto"/>
              </w:rPr>
              <w:t>(37.2 ) %</w:t>
            </w:r>
          </w:p>
        </w:tc>
        <w:tc>
          <w:tcPr>
            <w:tcW w:w="0" w:type="dxa"/>
            <w:vAlign w:val="bottom"/>
          </w:tcPr>
          <w:p>
            <w:pPr>
              <w:spacing w:after="0"/>
              <w:rPr>
                <w:sz w:val="1"/>
                <w:szCs w:val="1"/>
                <w:color w:val="auto"/>
              </w:rPr>
            </w:pPr>
          </w:p>
        </w:tc>
      </w:tr>
      <w:tr>
        <w:trPr>
          <w:trHeight w:val="243"/>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NICS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289.0</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257.9</w:t>
            </w:r>
          </w:p>
        </w:tc>
        <w:tc>
          <w:tcPr>
            <w:tcW w:w="1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gridSpan w:val="3"/>
            <w:shd w:val="clear" w:color="auto" w:fill="CCECFF"/>
          </w:tcPr>
          <w:p>
            <w:pPr>
              <w:ind w:left="20"/>
              <w:spacing w:after="0"/>
              <w:rPr>
                <w:sz w:val="20"/>
                <w:szCs w:val="20"/>
                <w:color w:val="auto"/>
              </w:rPr>
            </w:pPr>
            <w:r>
              <w:rPr>
                <w:rFonts w:ascii="Arial" w:cs="Arial" w:eastAsia="Arial" w:hAnsi="Arial"/>
                <w:sz w:val="18"/>
                <w:szCs w:val="18"/>
                <w:color w:val="auto"/>
              </w:rPr>
              <w:t>OWN</w:t>
            </w:r>
          </w:p>
        </w:tc>
        <w:tc>
          <w:tcPr>
            <w:tcW w:w="8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5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210.3</w:t>
            </w:r>
          </w:p>
        </w:tc>
        <w:tc>
          <w:tcPr>
            <w:tcW w:w="34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382.1</w:t>
            </w:r>
          </w:p>
        </w:tc>
        <w:tc>
          <w:tcPr>
            <w:tcW w:w="160" w:type="dxa"/>
            <w:vAlign w:val="bottom"/>
            <w:shd w:val="clear" w:color="auto" w:fill="CCECFF"/>
          </w:tcPr>
          <w:p>
            <w:pPr>
              <w:spacing w:after="0"/>
              <w:rPr>
                <w:sz w:val="21"/>
                <w:szCs w:val="21"/>
                <w:color w:val="auto"/>
              </w:rPr>
            </w:pPr>
          </w:p>
        </w:tc>
        <w:tc>
          <w:tcPr>
            <w:tcW w:w="12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(45.0 )</w:t>
            </w:r>
          </w:p>
        </w:tc>
        <w:tc>
          <w:tcPr>
            <w:tcW w:w="4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ANS</w:t>
            </w: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218.3</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342.3</w:t>
            </w:r>
          </w:p>
        </w:tc>
        <w:tc>
          <w:tcPr>
            <w:tcW w:w="1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(36.2 )</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440" w:type="dxa"/>
            <w:vAlign w:val="bottom"/>
            <w:gridSpan w:val="3"/>
            <w:shd w:val="clear" w:color="auto" w:fill="CCECFF"/>
          </w:tcPr>
          <w:p>
            <w:pPr>
              <w:ind w:left="180"/>
              <w:spacing w:after="0"/>
              <w:rPr>
                <w:sz w:val="20"/>
                <w:szCs w:val="20"/>
                <w:color w:val="auto"/>
              </w:rPr>
            </w:pPr>
            <w:r>
              <w:rPr>
                <w:rFonts w:ascii="Arial" w:cs="Arial" w:eastAsia="Arial" w:hAnsi="Arial"/>
                <w:sz w:val="18"/>
                <w:szCs w:val="18"/>
                <w:color w:val="auto"/>
              </w:rPr>
              <w:t>Core net sales</w:t>
            </w:r>
          </w:p>
        </w:tc>
        <w:tc>
          <w:tcPr>
            <w:tcW w:w="82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200" w:type="dxa"/>
            <w:vAlign w:val="bottom"/>
            <w:gridSpan w:val="3"/>
            <w:shd w:val="clear" w:color="auto" w:fill="CCECFF"/>
          </w:tcPr>
          <w:p>
            <w:pPr>
              <w:jc w:val="right"/>
              <w:ind w:right="20"/>
              <w:spacing w:after="0"/>
              <w:rPr>
                <w:sz w:val="20"/>
                <w:szCs w:val="20"/>
                <w:color w:val="auto"/>
              </w:rPr>
            </w:pPr>
            <w:r>
              <w:rPr>
                <w:rFonts w:ascii="Arial" w:cs="Arial" w:eastAsia="Arial" w:hAnsi="Arial"/>
                <w:sz w:val="18"/>
                <w:szCs w:val="18"/>
                <w:color w:val="auto"/>
              </w:rPr>
              <w:t>1,350.1</w:t>
            </w:r>
          </w:p>
        </w:tc>
        <w:tc>
          <w:tcPr>
            <w:tcW w:w="34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11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1,990.0</w:t>
            </w:r>
          </w:p>
        </w:tc>
        <w:tc>
          <w:tcPr>
            <w:tcW w:w="160" w:type="dxa"/>
            <w:vAlign w:val="bottom"/>
            <w:shd w:val="clear" w:color="auto" w:fill="CCECFF"/>
          </w:tcPr>
          <w:p>
            <w:pPr>
              <w:spacing w:after="0"/>
              <w:rPr>
                <w:sz w:val="20"/>
                <w:szCs w:val="20"/>
                <w:color w:val="auto"/>
              </w:rPr>
            </w:pPr>
          </w:p>
        </w:tc>
        <w:tc>
          <w:tcPr>
            <w:tcW w:w="12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(32.2 )</w:t>
            </w:r>
          </w:p>
        </w:tc>
        <w:tc>
          <w:tcPr>
            <w:tcW w:w="46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Home</w:t>
            </w: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249.4</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391.4</w:t>
            </w:r>
          </w:p>
        </w:tc>
        <w:tc>
          <w:tcPr>
            <w:tcW w:w="1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(36.3 )</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gridSpan w:val="3"/>
            <w:shd w:val="clear" w:color="auto" w:fill="CCECFF"/>
          </w:tcPr>
          <w:p>
            <w:pPr>
              <w:ind w:left="20"/>
              <w:spacing w:after="0"/>
              <w:rPr>
                <w:sz w:val="20"/>
                <w:szCs w:val="20"/>
                <w:color w:val="auto"/>
              </w:rPr>
            </w:pPr>
            <w:r>
              <w:rPr>
                <w:rFonts w:ascii="Arial" w:cs="Arial" w:eastAsia="Arial" w:hAnsi="Arial"/>
                <w:sz w:val="18"/>
                <w:szCs w:val="18"/>
                <w:b w:val="1"/>
                <w:bCs w:val="1"/>
                <w:color w:val="auto"/>
              </w:rPr>
              <w:t>Total net sales</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CFF"/>
          </w:tcPr>
          <w:p>
            <w:pPr>
              <w:jc w:val="right"/>
              <w:ind w:right="20"/>
              <w:spacing w:after="0"/>
              <w:rPr>
                <w:sz w:val="20"/>
                <w:szCs w:val="20"/>
                <w:color w:val="auto"/>
              </w:rPr>
            </w:pPr>
            <w:r>
              <w:rPr>
                <w:rFonts w:ascii="Arial" w:cs="Arial" w:eastAsia="Arial" w:hAnsi="Arial"/>
                <w:sz w:val="18"/>
                <w:szCs w:val="18"/>
                <w:color w:val="auto"/>
              </w:rPr>
              <w:t>1,599.5</w:t>
            </w:r>
          </w:p>
        </w:tc>
        <w:tc>
          <w:tcPr>
            <w:tcW w:w="340" w:type="dxa"/>
            <w:vAlign w:val="bottom"/>
            <w:shd w:val="clear" w:color="auto" w:fill="CCECFF"/>
          </w:tcPr>
          <w:p>
            <w:pPr>
              <w:spacing w:after="0"/>
              <w:rPr>
                <w:sz w:val="22"/>
                <w:szCs w:val="22"/>
                <w:color w:val="auto"/>
              </w:rPr>
            </w:pPr>
          </w:p>
        </w:tc>
        <w:tc>
          <w:tcPr>
            <w:tcW w:w="240" w:type="dxa"/>
            <w:vAlign w:val="bottom"/>
            <w:shd w:val="clear" w:color="auto" w:fill="CCEC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2,381.4</w:t>
            </w:r>
          </w:p>
        </w:tc>
        <w:tc>
          <w:tcPr>
            <w:tcW w:w="160" w:type="dxa"/>
            <w:vAlign w:val="bottom"/>
            <w:shd w:val="clear" w:color="auto" w:fill="CCECFF"/>
          </w:tcPr>
          <w:p>
            <w:pPr>
              <w:spacing w:after="0"/>
              <w:rPr>
                <w:sz w:val="22"/>
                <w:szCs w:val="22"/>
                <w:color w:val="auto"/>
              </w:rPr>
            </w:pPr>
          </w:p>
        </w:tc>
        <w:tc>
          <w:tcPr>
            <w:tcW w:w="1720" w:type="dxa"/>
            <w:vAlign w:val="bottom"/>
            <w:gridSpan w:val="3"/>
            <w:shd w:val="clear" w:color="auto" w:fill="CCECFF"/>
          </w:tcPr>
          <w:p>
            <w:pPr>
              <w:jc w:val="right"/>
              <w:ind w:right="110"/>
              <w:spacing w:after="0"/>
              <w:rPr>
                <w:sz w:val="20"/>
                <w:szCs w:val="20"/>
                <w:color w:val="auto"/>
              </w:rPr>
            </w:pPr>
            <w:r>
              <w:rPr>
                <w:rFonts w:ascii="Arial" w:cs="Arial" w:eastAsia="Arial" w:hAnsi="Arial"/>
                <w:sz w:val="18"/>
                <w:szCs w:val="18"/>
                <w:color w:val="auto"/>
              </w:rPr>
              <w:t>(32.8 ) %</w:t>
            </w:r>
          </w:p>
        </w:tc>
        <w:tc>
          <w:tcPr>
            <w:tcW w:w="0" w:type="dxa"/>
            <w:vAlign w:val="bottom"/>
          </w:tcPr>
          <w:p>
            <w:pPr>
              <w:spacing w:after="0"/>
              <w:rPr>
                <w:sz w:val="1"/>
                <w:szCs w:val="1"/>
                <w:color w:val="auto"/>
              </w:rPr>
            </w:pPr>
          </w:p>
        </w:tc>
      </w:tr>
      <w:tr>
        <w:trPr>
          <w:trHeight w:val="479"/>
        </w:trPr>
        <w:tc>
          <w:tcPr>
            <w:tcW w:w="5440" w:type="dxa"/>
            <w:vAlign w:val="bottom"/>
            <w:tcBorders>
              <w:top w:val="single" w:sz="8" w:color="CCECFF"/>
            </w:tcBorders>
            <w:gridSpan w:val="3"/>
          </w:tcPr>
          <w:p>
            <w:pPr>
              <w:spacing w:after="0"/>
              <w:rPr>
                <w:sz w:val="20"/>
                <w:szCs w:val="20"/>
                <w:color w:val="auto"/>
              </w:rPr>
            </w:pPr>
            <w:r>
              <w:rPr>
                <w:rFonts w:ascii="Arial" w:cs="Arial" w:eastAsia="Arial" w:hAnsi="Arial"/>
                <w:sz w:val="18"/>
                <w:szCs w:val="18"/>
                <w:b w:val="1"/>
                <w:bCs w:val="1"/>
                <w:color w:val="auto"/>
              </w:rPr>
              <w:t>Segment Operating Income (Loss)</w:t>
            </w:r>
          </w:p>
        </w:tc>
        <w:tc>
          <w:tcPr>
            <w:tcW w:w="820" w:type="dxa"/>
            <w:vAlign w:val="bottom"/>
            <w:tcBorders>
              <w:top w:val="single" w:sz="8" w:color="CCEC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CCEC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CCECFF"/>
            </w:tcBorders>
          </w:tcPr>
          <w:p>
            <w:pPr>
              <w:spacing w:after="0"/>
              <w:rPr>
                <w:sz w:val="24"/>
                <w:szCs w:val="24"/>
                <w:color w:val="auto"/>
              </w:rPr>
            </w:pPr>
          </w:p>
        </w:tc>
        <w:tc>
          <w:tcPr>
            <w:tcW w:w="80" w:type="dxa"/>
            <w:vAlign w:val="bottom"/>
            <w:tcBorders>
              <w:top w:val="single" w:sz="8" w:color="CCECFF"/>
            </w:tcBorders>
          </w:tcPr>
          <w:p>
            <w:pPr>
              <w:spacing w:after="0"/>
              <w:rPr>
                <w:sz w:val="24"/>
                <w:szCs w:val="24"/>
                <w:color w:val="auto"/>
              </w:rPr>
            </w:pPr>
          </w:p>
        </w:tc>
        <w:tc>
          <w:tcPr>
            <w:tcW w:w="1640" w:type="dxa"/>
            <w:vAlign w:val="bottom"/>
            <w:tcBorders>
              <w:top w:val="single" w:sz="8" w:color="CCECFF"/>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8"/>
        </w:trPr>
        <w:tc>
          <w:tcPr>
            <w:tcW w:w="16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Borders>
              <w:top w:val="single" w:sz="8" w:color="CCEC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6"/>
                <w:szCs w:val="16"/>
                <w:b w:val="1"/>
                <w:bCs w:val="1"/>
                <w:color w:val="auto"/>
              </w:rPr>
              <w:t>Q3 2023</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Q3 2022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bottom w:val="single" w:sz="8" w:color="auto"/>
            </w:tcBorders>
          </w:tcPr>
          <w:p>
            <w:pPr>
              <w:jc w:val="center"/>
              <w:ind w:left="396"/>
              <w:spacing w:after="0"/>
              <w:rPr>
                <w:sz w:val="20"/>
                <w:szCs w:val="20"/>
                <w:color w:val="auto"/>
              </w:rPr>
            </w:pPr>
            <w:r>
              <w:rPr>
                <w:rFonts w:ascii="Arial" w:cs="Arial" w:eastAsia="Arial" w:hAnsi="Arial"/>
                <w:sz w:val="16"/>
                <w:szCs w:val="16"/>
                <w:b w:val="1"/>
                <w:bCs w:val="1"/>
                <w:color w:val="auto"/>
              </w:rPr>
              <w:t>YOY</w:t>
            </w: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440" w:type="dxa"/>
            <w:vAlign w:val="bottom"/>
            <w:gridSpan w:val="3"/>
            <w:shd w:val="clear" w:color="auto" w:fill="CCECFF"/>
          </w:tcPr>
          <w:p>
            <w:pPr>
              <w:ind w:left="20"/>
              <w:spacing w:after="0"/>
              <w:rPr>
                <w:sz w:val="20"/>
                <w:szCs w:val="20"/>
                <w:color w:val="auto"/>
              </w:rPr>
            </w:pPr>
            <w:r>
              <w:rPr>
                <w:rFonts w:ascii="Arial" w:cs="Arial" w:eastAsia="Arial" w:hAnsi="Arial"/>
                <w:sz w:val="18"/>
                <w:szCs w:val="18"/>
                <w:color w:val="auto"/>
              </w:rPr>
              <w:t>CCS</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CFF"/>
          </w:tcPr>
          <w:p>
            <w:pPr>
              <w:spacing w:after="0"/>
              <w:rPr>
                <w:sz w:val="20"/>
                <w:szCs w:val="20"/>
                <w:color w:val="auto"/>
              </w:rPr>
            </w:pPr>
          </w:p>
        </w:tc>
        <w:tc>
          <w:tcPr>
            <w:tcW w:w="5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23.6</w:t>
            </w:r>
          </w:p>
        </w:tc>
        <w:tc>
          <w:tcPr>
            <w:tcW w:w="340" w:type="dxa"/>
            <w:vAlign w:val="bottom"/>
            <w:shd w:val="clear" w:color="auto" w:fill="CCECFF"/>
          </w:tcPr>
          <w:p>
            <w:pPr>
              <w:spacing w:after="0"/>
              <w:rPr>
                <w:sz w:val="20"/>
                <w:szCs w:val="20"/>
                <w:color w:val="auto"/>
              </w:rPr>
            </w:pPr>
          </w:p>
        </w:tc>
        <w:tc>
          <w:tcPr>
            <w:tcW w:w="240" w:type="dxa"/>
            <w:vAlign w:val="bottom"/>
            <w:shd w:val="clear" w:color="auto" w:fill="CCEC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143.2</w:t>
            </w:r>
          </w:p>
        </w:tc>
        <w:tc>
          <w:tcPr>
            <w:tcW w:w="160" w:type="dxa"/>
            <w:vAlign w:val="bottom"/>
            <w:shd w:val="clear" w:color="auto" w:fill="CCECFF"/>
          </w:tcPr>
          <w:p>
            <w:pPr>
              <w:spacing w:after="0"/>
              <w:rPr>
                <w:sz w:val="20"/>
                <w:szCs w:val="20"/>
                <w:color w:val="auto"/>
              </w:rPr>
            </w:pPr>
          </w:p>
        </w:tc>
        <w:tc>
          <w:tcPr>
            <w:tcW w:w="80" w:type="dxa"/>
            <w:vAlign w:val="bottom"/>
            <w:shd w:val="clear" w:color="auto" w:fill="CCECFF"/>
          </w:tcPr>
          <w:p>
            <w:pPr>
              <w:spacing w:after="0"/>
              <w:rPr>
                <w:sz w:val="20"/>
                <w:szCs w:val="20"/>
                <w:color w:val="auto"/>
              </w:rPr>
            </w:pPr>
          </w:p>
        </w:tc>
        <w:tc>
          <w:tcPr>
            <w:tcW w:w="1640" w:type="dxa"/>
            <w:vAlign w:val="bottom"/>
            <w:gridSpan w:val="2"/>
            <w:shd w:val="clear" w:color="auto" w:fill="CCECFF"/>
          </w:tcPr>
          <w:p>
            <w:pPr>
              <w:jc w:val="right"/>
              <w:ind w:right="170"/>
              <w:spacing w:after="0"/>
              <w:rPr>
                <w:sz w:val="20"/>
                <w:szCs w:val="20"/>
                <w:color w:val="auto"/>
              </w:rPr>
            </w:pPr>
            <w:r>
              <w:rPr>
                <w:rFonts w:ascii="Arial" w:cs="Arial" w:eastAsia="Arial" w:hAnsi="Arial"/>
                <w:sz w:val="18"/>
                <w:szCs w:val="18"/>
                <w:color w:val="auto"/>
              </w:rPr>
              <w:t>(83.5 ) %</w:t>
            </w:r>
          </w:p>
        </w:tc>
        <w:tc>
          <w:tcPr>
            <w:tcW w:w="0" w:type="dxa"/>
            <w:vAlign w:val="bottom"/>
          </w:tcPr>
          <w:p>
            <w:pPr>
              <w:spacing w:after="0"/>
              <w:rPr>
                <w:sz w:val="1"/>
                <w:szCs w:val="1"/>
                <w:color w:val="auto"/>
              </w:rPr>
            </w:pPr>
          </w:p>
        </w:tc>
      </w:tr>
      <w:tr>
        <w:trPr>
          <w:trHeight w:val="243"/>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NICS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43.9</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3,558.3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gridSpan w:val="3"/>
            <w:shd w:val="clear" w:color="auto" w:fill="CCECFF"/>
          </w:tcPr>
          <w:p>
            <w:pPr>
              <w:ind w:left="20"/>
              <w:spacing w:after="0"/>
              <w:rPr>
                <w:sz w:val="20"/>
                <w:szCs w:val="20"/>
                <w:color w:val="auto"/>
              </w:rPr>
            </w:pPr>
            <w:r>
              <w:rPr>
                <w:rFonts w:ascii="Arial" w:cs="Arial" w:eastAsia="Arial" w:hAnsi="Arial"/>
                <w:sz w:val="18"/>
                <w:szCs w:val="18"/>
                <w:color w:val="auto"/>
              </w:rPr>
              <w:t>OWN</w:t>
            </w:r>
          </w:p>
        </w:tc>
        <w:tc>
          <w:tcPr>
            <w:tcW w:w="8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5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34.0</w:t>
            </w:r>
          </w:p>
        </w:tc>
        <w:tc>
          <w:tcPr>
            <w:tcW w:w="34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66.7</w:t>
            </w:r>
          </w:p>
        </w:tc>
        <w:tc>
          <w:tcPr>
            <w:tcW w:w="160" w:type="dxa"/>
            <w:vAlign w:val="bottom"/>
            <w:shd w:val="clear" w:color="auto" w:fill="CCECFF"/>
          </w:tcPr>
          <w:p>
            <w:pPr>
              <w:spacing w:after="0"/>
              <w:rPr>
                <w:sz w:val="21"/>
                <w:szCs w:val="21"/>
                <w:color w:val="auto"/>
              </w:rPr>
            </w:pPr>
          </w:p>
        </w:tc>
        <w:tc>
          <w:tcPr>
            <w:tcW w:w="12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(49.0 )</w:t>
            </w:r>
          </w:p>
        </w:tc>
        <w:tc>
          <w:tcPr>
            <w:tcW w:w="4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ANS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(427.1 )</w:t>
            </w:r>
          </w:p>
        </w:tc>
        <w:tc>
          <w:tcPr>
            <w:tcW w:w="24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(15.8 )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2,603.2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40" w:type="dxa"/>
            <w:vAlign w:val="bottom"/>
            <w:gridSpan w:val="3"/>
            <w:shd w:val="clear" w:color="auto" w:fill="CCECFF"/>
          </w:tcPr>
          <w:p>
            <w:pPr>
              <w:ind w:left="140"/>
              <w:spacing w:after="0"/>
              <w:rPr>
                <w:sz w:val="20"/>
                <w:szCs w:val="20"/>
                <w:color w:val="auto"/>
              </w:rPr>
            </w:pPr>
            <w:r>
              <w:rPr>
                <w:rFonts w:ascii="Arial" w:cs="Arial" w:eastAsia="Arial" w:hAnsi="Arial"/>
                <w:sz w:val="18"/>
                <w:szCs w:val="18"/>
                <w:color w:val="auto"/>
              </w:rPr>
              <w:t>Core operating income (loss)</w:t>
            </w:r>
          </w:p>
        </w:tc>
        <w:tc>
          <w:tcPr>
            <w:tcW w:w="82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540" w:type="dxa"/>
            <w:vAlign w:val="bottom"/>
            <w:gridSpan w:val="4"/>
            <w:shd w:val="clear" w:color="auto" w:fill="CCECFF"/>
          </w:tcPr>
          <w:p>
            <w:pPr>
              <w:jc w:val="right"/>
              <w:ind w:right="280"/>
              <w:spacing w:after="0"/>
              <w:rPr>
                <w:sz w:val="20"/>
                <w:szCs w:val="20"/>
                <w:color w:val="auto"/>
              </w:rPr>
            </w:pPr>
            <w:r>
              <w:rPr>
                <w:rFonts w:ascii="Arial" w:cs="Arial" w:eastAsia="Arial" w:hAnsi="Arial"/>
                <w:sz w:val="18"/>
                <w:szCs w:val="18"/>
                <w:color w:val="auto"/>
              </w:rPr>
              <w:t>(325.6 )</w:t>
            </w:r>
          </w:p>
        </w:tc>
        <w:tc>
          <w:tcPr>
            <w:tcW w:w="240" w:type="dxa"/>
            <w:vAlign w:val="bottom"/>
            <w:shd w:val="clear" w:color="auto" w:fill="CCECFF"/>
          </w:tcPr>
          <w:p>
            <w:pPr>
              <w:spacing w:after="0"/>
              <w:rPr>
                <w:sz w:val="20"/>
                <w:szCs w:val="20"/>
                <w:color w:val="auto"/>
              </w:rPr>
            </w:pPr>
          </w:p>
        </w:tc>
        <w:tc>
          <w:tcPr>
            <w:tcW w:w="11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195.3</w:t>
            </w:r>
          </w:p>
        </w:tc>
        <w:tc>
          <w:tcPr>
            <w:tcW w:w="160" w:type="dxa"/>
            <w:vAlign w:val="bottom"/>
            <w:shd w:val="clear" w:color="auto" w:fill="CCECFF"/>
          </w:tcPr>
          <w:p>
            <w:pPr>
              <w:spacing w:after="0"/>
              <w:rPr>
                <w:sz w:val="20"/>
                <w:szCs w:val="20"/>
                <w:color w:val="auto"/>
              </w:rPr>
            </w:pPr>
          </w:p>
        </w:tc>
        <w:tc>
          <w:tcPr>
            <w:tcW w:w="12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(266.7 )</w:t>
            </w:r>
          </w:p>
        </w:tc>
        <w:tc>
          <w:tcPr>
            <w:tcW w:w="46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Home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(500.2 )</w:t>
            </w:r>
          </w:p>
        </w:tc>
        <w:tc>
          <w:tcPr>
            <w:tcW w:w="24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(39.7 )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1,159.9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40" w:type="dxa"/>
            <w:vAlign w:val="bottom"/>
            <w:gridSpan w:val="3"/>
            <w:shd w:val="clear" w:color="auto" w:fill="CCECFF"/>
          </w:tcPr>
          <w:p>
            <w:pPr>
              <w:ind w:left="20"/>
              <w:spacing w:after="0"/>
              <w:rPr>
                <w:sz w:val="20"/>
                <w:szCs w:val="20"/>
                <w:color w:val="auto"/>
              </w:rPr>
            </w:pPr>
            <w:r>
              <w:rPr>
                <w:rFonts w:ascii="Arial" w:cs="Arial" w:eastAsia="Arial" w:hAnsi="Arial"/>
                <w:sz w:val="18"/>
                <w:szCs w:val="18"/>
                <w:b w:val="1"/>
                <w:bCs w:val="1"/>
                <w:color w:val="auto"/>
              </w:rPr>
              <w:t>Total operating income (loss)</w:t>
            </w:r>
          </w:p>
        </w:tc>
        <w:tc>
          <w:tcPr>
            <w:tcW w:w="820" w:type="dxa"/>
            <w:vAlign w:val="bottom"/>
            <w:shd w:val="clear" w:color="auto" w:fill="CCECFF"/>
          </w:tcPr>
          <w:p>
            <w:pPr>
              <w:spacing w:after="0"/>
              <w:rPr>
                <w:sz w:val="22"/>
                <w:szCs w:val="22"/>
                <w:color w:val="auto"/>
              </w:rPr>
            </w:pPr>
          </w:p>
        </w:tc>
        <w:tc>
          <w:tcPr>
            <w:tcW w:w="2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4"/>
            <w:shd w:val="clear" w:color="auto" w:fill="CCECFF"/>
          </w:tcPr>
          <w:p>
            <w:pPr>
              <w:jc w:val="right"/>
              <w:ind w:right="280"/>
              <w:spacing w:after="0"/>
              <w:rPr>
                <w:sz w:val="20"/>
                <w:szCs w:val="20"/>
                <w:color w:val="auto"/>
              </w:rPr>
            </w:pPr>
            <w:r>
              <w:rPr>
                <w:rFonts w:ascii="Arial" w:cs="Arial" w:eastAsia="Arial" w:hAnsi="Arial"/>
                <w:sz w:val="18"/>
                <w:szCs w:val="18"/>
                <w:color w:val="auto"/>
              </w:rPr>
              <w:t>(825.8 )</w:t>
            </w:r>
          </w:p>
        </w:tc>
        <w:tc>
          <w:tcPr>
            <w:tcW w:w="240" w:type="dxa"/>
            <w:vAlign w:val="bottom"/>
            <w:shd w:val="clear" w:color="auto" w:fill="CCEC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155.6</w:t>
            </w:r>
          </w:p>
        </w:tc>
        <w:tc>
          <w:tcPr>
            <w:tcW w:w="160" w:type="dxa"/>
            <w:vAlign w:val="bottom"/>
            <w:shd w:val="clear" w:color="auto" w:fill="CCECFF"/>
          </w:tcPr>
          <w:p>
            <w:pPr>
              <w:spacing w:after="0"/>
              <w:rPr>
                <w:sz w:val="22"/>
                <w:szCs w:val="22"/>
                <w:color w:val="auto"/>
              </w:rPr>
            </w:pPr>
          </w:p>
        </w:tc>
        <w:tc>
          <w:tcPr>
            <w:tcW w:w="1720" w:type="dxa"/>
            <w:vAlign w:val="bottom"/>
            <w:gridSpan w:val="3"/>
            <w:shd w:val="clear" w:color="auto" w:fill="CCECFF"/>
          </w:tcPr>
          <w:p>
            <w:pPr>
              <w:jc w:val="right"/>
              <w:ind w:right="170"/>
              <w:spacing w:after="0"/>
              <w:rPr>
                <w:sz w:val="20"/>
                <w:szCs w:val="20"/>
                <w:color w:val="auto"/>
              </w:rPr>
            </w:pPr>
            <w:r>
              <w:rPr>
                <w:rFonts w:ascii="Arial" w:cs="Arial" w:eastAsia="Arial" w:hAnsi="Arial"/>
                <w:sz w:val="18"/>
                <w:szCs w:val="18"/>
                <w:color w:val="auto"/>
              </w:rPr>
              <w:t>(630.7 ) %</w:t>
            </w:r>
          </w:p>
        </w:tc>
        <w:tc>
          <w:tcPr>
            <w:tcW w:w="0" w:type="dxa"/>
            <w:vAlign w:val="bottom"/>
          </w:tcPr>
          <w:p>
            <w:pPr>
              <w:spacing w:after="0"/>
              <w:rPr>
                <w:sz w:val="1"/>
                <w:szCs w:val="1"/>
                <w:color w:val="auto"/>
              </w:rPr>
            </w:pPr>
          </w:p>
        </w:tc>
      </w:tr>
      <w:tr>
        <w:trPr>
          <w:trHeight w:val="479"/>
        </w:trPr>
        <w:tc>
          <w:tcPr>
            <w:tcW w:w="6260" w:type="dxa"/>
            <w:vAlign w:val="bottom"/>
            <w:tcBorders>
              <w:top w:val="single" w:sz="8" w:color="CCECFF"/>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9"/>
              </w:rPr>
              <w:t>Segment Adjusted EBITDA (See "Non-GAAP Financial Measures," below)</w:t>
            </w: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CCEC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CCECFF"/>
            </w:tcBorders>
          </w:tcPr>
          <w:p>
            <w:pPr>
              <w:spacing w:after="0"/>
              <w:rPr>
                <w:sz w:val="24"/>
                <w:szCs w:val="24"/>
                <w:color w:val="auto"/>
              </w:rPr>
            </w:pPr>
          </w:p>
        </w:tc>
        <w:tc>
          <w:tcPr>
            <w:tcW w:w="80" w:type="dxa"/>
            <w:vAlign w:val="bottom"/>
            <w:tcBorders>
              <w:top w:val="single" w:sz="8" w:color="CCECFF"/>
            </w:tcBorders>
          </w:tcPr>
          <w:p>
            <w:pPr>
              <w:spacing w:after="0"/>
              <w:rPr>
                <w:sz w:val="24"/>
                <w:szCs w:val="24"/>
                <w:color w:val="auto"/>
              </w:rPr>
            </w:pPr>
          </w:p>
        </w:tc>
        <w:tc>
          <w:tcPr>
            <w:tcW w:w="1640" w:type="dxa"/>
            <w:vAlign w:val="bottom"/>
            <w:tcBorders>
              <w:top w:val="single" w:sz="8" w:color="CCECFF"/>
              <w:bottom w:val="single" w:sz="8" w:color="CCECFF"/>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32"/>
        </w:trPr>
        <w:tc>
          <w:tcPr>
            <w:tcW w:w="1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6"/>
                <w:szCs w:val="16"/>
                <w:b w:val="1"/>
                <w:bCs w:val="1"/>
                <w:color w:val="auto"/>
              </w:rPr>
              <w:t>Q3 2023</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Q3 2022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bottom w:val="single" w:sz="8" w:color="auto"/>
            </w:tcBorders>
          </w:tcPr>
          <w:p>
            <w:pPr>
              <w:jc w:val="center"/>
              <w:ind w:left="396"/>
              <w:spacing w:after="0"/>
              <w:rPr>
                <w:sz w:val="20"/>
                <w:szCs w:val="20"/>
                <w:color w:val="auto"/>
              </w:rPr>
            </w:pPr>
            <w:r>
              <w:rPr>
                <w:rFonts w:ascii="Arial" w:cs="Arial" w:eastAsia="Arial" w:hAnsi="Arial"/>
                <w:sz w:val="16"/>
                <w:szCs w:val="16"/>
                <w:b w:val="1"/>
                <w:bCs w:val="1"/>
                <w:color w:val="auto"/>
              </w:rPr>
              <w:t>YOY</w:t>
            </w: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440" w:type="dxa"/>
            <w:vAlign w:val="bottom"/>
            <w:gridSpan w:val="3"/>
            <w:shd w:val="clear" w:color="auto" w:fill="CCECFF"/>
          </w:tcPr>
          <w:p>
            <w:pPr>
              <w:ind w:left="20"/>
              <w:spacing w:after="0"/>
              <w:rPr>
                <w:sz w:val="20"/>
                <w:szCs w:val="20"/>
                <w:color w:val="auto"/>
              </w:rPr>
            </w:pPr>
            <w:r>
              <w:rPr>
                <w:rFonts w:ascii="Arial" w:cs="Arial" w:eastAsia="Arial" w:hAnsi="Arial"/>
                <w:sz w:val="18"/>
                <w:szCs w:val="18"/>
                <w:color w:val="auto"/>
              </w:rPr>
              <w:t>CCS</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CFF"/>
          </w:tcPr>
          <w:p>
            <w:pPr>
              <w:spacing w:after="0"/>
              <w:rPr>
                <w:sz w:val="20"/>
                <w:szCs w:val="20"/>
                <w:color w:val="auto"/>
              </w:rPr>
            </w:pPr>
          </w:p>
        </w:tc>
        <w:tc>
          <w:tcPr>
            <w:tcW w:w="5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78.7</w:t>
            </w:r>
          </w:p>
        </w:tc>
        <w:tc>
          <w:tcPr>
            <w:tcW w:w="340" w:type="dxa"/>
            <w:vAlign w:val="bottom"/>
            <w:shd w:val="clear" w:color="auto" w:fill="CCECFF"/>
          </w:tcPr>
          <w:p>
            <w:pPr>
              <w:spacing w:after="0"/>
              <w:rPr>
                <w:sz w:val="20"/>
                <w:szCs w:val="20"/>
                <w:color w:val="auto"/>
              </w:rPr>
            </w:pPr>
          </w:p>
        </w:tc>
        <w:tc>
          <w:tcPr>
            <w:tcW w:w="240" w:type="dxa"/>
            <w:vAlign w:val="bottom"/>
            <w:shd w:val="clear" w:color="auto" w:fill="CCEC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188.2</w:t>
            </w:r>
          </w:p>
        </w:tc>
        <w:tc>
          <w:tcPr>
            <w:tcW w:w="160" w:type="dxa"/>
            <w:vAlign w:val="bottom"/>
            <w:shd w:val="clear" w:color="auto" w:fill="CCECFF"/>
          </w:tcPr>
          <w:p>
            <w:pPr>
              <w:spacing w:after="0"/>
              <w:rPr>
                <w:sz w:val="20"/>
                <w:szCs w:val="20"/>
                <w:color w:val="auto"/>
              </w:rPr>
            </w:pPr>
          </w:p>
        </w:tc>
        <w:tc>
          <w:tcPr>
            <w:tcW w:w="80" w:type="dxa"/>
            <w:vAlign w:val="bottom"/>
            <w:shd w:val="clear" w:color="auto" w:fill="CCECFF"/>
          </w:tcPr>
          <w:p>
            <w:pPr>
              <w:spacing w:after="0"/>
              <w:rPr>
                <w:sz w:val="20"/>
                <w:szCs w:val="20"/>
                <w:color w:val="auto"/>
              </w:rPr>
            </w:pPr>
          </w:p>
        </w:tc>
        <w:tc>
          <w:tcPr>
            <w:tcW w:w="1640" w:type="dxa"/>
            <w:vAlign w:val="bottom"/>
            <w:gridSpan w:val="2"/>
            <w:shd w:val="clear" w:color="auto" w:fill="CCECFF"/>
          </w:tcPr>
          <w:p>
            <w:pPr>
              <w:jc w:val="right"/>
              <w:ind w:right="110"/>
              <w:spacing w:after="0"/>
              <w:rPr>
                <w:sz w:val="20"/>
                <w:szCs w:val="20"/>
                <w:color w:val="auto"/>
              </w:rPr>
            </w:pPr>
            <w:r>
              <w:rPr>
                <w:rFonts w:ascii="Arial" w:cs="Arial" w:eastAsia="Arial" w:hAnsi="Arial"/>
                <w:sz w:val="18"/>
                <w:szCs w:val="18"/>
                <w:color w:val="auto"/>
              </w:rPr>
              <w:t>(58.2 ) %</w:t>
            </w:r>
          </w:p>
        </w:tc>
        <w:tc>
          <w:tcPr>
            <w:tcW w:w="0" w:type="dxa"/>
            <w:vAlign w:val="bottom"/>
          </w:tcPr>
          <w:p>
            <w:pPr>
              <w:spacing w:after="0"/>
              <w:rPr>
                <w:sz w:val="1"/>
                <w:szCs w:val="1"/>
                <w:color w:val="auto"/>
              </w:rPr>
            </w:pPr>
          </w:p>
        </w:tc>
      </w:tr>
      <w:tr>
        <w:trPr>
          <w:trHeight w:val="243"/>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NICS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63.0</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155.1</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gridSpan w:val="3"/>
            <w:shd w:val="clear" w:color="auto" w:fill="CCECFF"/>
          </w:tcPr>
          <w:p>
            <w:pPr>
              <w:ind w:left="20"/>
              <w:spacing w:after="0"/>
              <w:rPr>
                <w:sz w:val="20"/>
                <w:szCs w:val="20"/>
                <w:color w:val="auto"/>
              </w:rPr>
            </w:pPr>
            <w:r>
              <w:rPr>
                <w:rFonts w:ascii="Arial" w:cs="Arial" w:eastAsia="Arial" w:hAnsi="Arial"/>
                <w:sz w:val="18"/>
                <w:szCs w:val="18"/>
                <w:color w:val="auto"/>
              </w:rPr>
              <w:t>OWN</w:t>
            </w:r>
          </w:p>
        </w:tc>
        <w:tc>
          <w:tcPr>
            <w:tcW w:w="8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5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45.3</w:t>
            </w:r>
          </w:p>
        </w:tc>
        <w:tc>
          <w:tcPr>
            <w:tcW w:w="34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82.2</w:t>
            </w:r>
          </w:p>
        </w:tc>
        <w:tc>
          <w:tcPr>
            <w:tcW w:w="160" w:type="dxa"/>
            <w:vAlign w:val="bottom"/>
            <w:shd w:val="clear" w:color="auto" w:fill="CCECFF"/>
          </w:tcPr>
          <w:p>
            <w:pPr>
              <w:spacing w:after="0"/>
              <w:rPr>
                <w:sz w:val="21"/>
                <w:szCs w:val="21"/>
                <w:color w:val="auto"/>
              </w:rPr>
            </w:pPr>
          </w:p>
        </w:tc>
        <w:tc>
          <w:tcPr>
            <w:tcW w:w="12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(44.9 )</w:t>
            </w:r>
          </w:p>
        </w:tc>
        <w:tc>
          <w:tcPr>
            <w:tcW w:w="4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ANS</w:t>
            </w: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58.5</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57.8</w:t>
            </w:r>
          </w:p>
        </w:tc>
        <w:tc>
          <w:tcPr>
            <w:tcW w:w="1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440" w:type="dxa"/>
            <w:vAlign w:val="bottom"/>
            <w:gridSpan w:val="3"/>
            <w:shd w:val="clear" w:color="auto" w:fill="CCECFF"/>
          </w:tcPr>
          <w:p>
            <w:pPr>
              <w:ind w:left="180"/>
              <w:spacing w:after="0"/>
              <w:rPr>
                <w:sz w:val="20"/>
                <w:szCs w:val="20"/>
                <w:color w:val="auto"/>
              </w:rPr>
            </w:pPr>
            <w:r>
              <w:rPr>
                <w:rFonts w:ascii="Arial" w:cs="Arial" w:eastAsia="Arial" w:hAnsi="Arial"/>
                <w:sz w:val="18"/>
                <w:szCs w:val="18"/>
                <w:color w:val="auto"/>
              </w:rPr>
              <w:t>Core adjusted EBITDA</w:t>
            </w:r>
          </w:p>
        </w:tc>
        <w:tc>
          <w:tcPr>
            <w:tcW w:w="82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700" w:type="dxa"/>
            <w:vAlign w:val="bottom"/>
            <w:shd w:val="clear" w:color="auto" w:fill="CCECFF"/>
          </w:tcPr>
          <w:p>
            <w:pPr>
              <w:spacing w:after="0"/>
              <w:rPr>
                <w:sz w:val="20"/>
                <w:szCs w:val="20"/>
                <w:color w:val="auto"/>
              </w:rPr>
            </w:pPr>
          </w:p>
        </w:tc>
        <w:tc>
          <w:tcPr>
            <w:tcW w:w="5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245.5</w:t>
            </w:r>
          </w:p>
        </w:tc>
        <w:tc>
          <w:tcPr>
            <w:tcW w:w="34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11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352.9</w:t>
            </w:r>
          </w:p>
        </w:tc>
        <w:tc>
          <w:tcPr>
            <w:tcW w:w="160" w:type="dxa"/>
            <w:vAlign w:val="bottom"/>
            <w:shd w:val="clear" w:color="auto" w:fill="CCECFF"/>
          </w:tcPr>
          <w:p>
            <w:pPr>
              <w:spacing w:after="0"/>
              <w:rPr>
                <w:sz w:val="20"/>
                <w:szCs w:val="20"/>
                <w:color w:val="auto"/>
              </w:rPr>
            </w:pPr>
          </w:p>
        </w:tc>
        <w:tc>
          <w:tcPr>
            <w:tcW w:w="12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(30.4 )</w:t>
            </w:r>
          </w:p>
        </w:tc>
        <w:tc>
          <w:tcPr>
            <w:tcW w:w="46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Home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(5.3 )</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NM</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8"/>
                <w:szCs w:val="18"/>
                <w:b w:val="1"/>
                <w:bCs w:val="1"/>
                <w:color w:val="auto"/>
              </w:rPr>
              <w:t>Total segment adjusted EBITDA</w:t>
            </w:r>
          </w:p>
        </w:tc>
        <w:tc>
          <w:tcPr>
            <w:tcW w:w="820" w:type="dxa"/>
            <w:vAlign w:val="bottom"/>
            <w:tcBorders>
              <w:bottom w:val="single" w:sz="8" w:color="CCECFF"/>
            </w:tcBorders>
            <w:shd w:val="clear" w:color="auto" w:fill="CCECFF"/>
          </w:tcPr>
          <w:p>
            <w:pPr>
              <w:spacing w:after="0"/>
              <w:rPr>
                <w:sz w:val="22"/>
                <w:szCs w:val="22"/>
                <w:color w:val="auto"/>
              </w:rPr>
            </w:pPr>
          </w:p>
        </w:tc>
        <w:tc>
          <w:tcPr>
            <w:tcW w:w="2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CFF"/>
          </w:tcPr>
          <w:p>
            <w:pPr>
              <w:spacing w:after="0"/>
              <w:rPr>
                <w:sz w:val="22"/>
                <w:szCs w:val="22"/>
                <w:color w:val="auto"/>
              </w:rPr>
            </w:pPr>
          </w:p>
        </w:tc>
        <w:tc>
          <w:tcPr>
            <w:tcW w:w="500" w:type="dxa"/>
            <w:vAlign w:val="bottom"/>
            <w:tcBorders>
              <w:top w:val="single" w:sz="8" w:color="auto"/>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248.6</w:t>
            </w:r>
          </w:p>
        </w:tc>
        <w:tc>
          <w:tcPr>
            <w:tcW w:w="340" w:type="dxa"/>
            <w:vAlign w:val="bottom"/>
            <w:tcBorders>
              <w:bottom w:val="single" w:sz="8" w:color="CCECFF"/>
            </w:tcBorders>
            <w:shd w:val="clear" w:color="auto" w:fill="CCECFF"/>
          </w:tcPr>
          <w:p>
            <w:pPr>
              <w:spacing w:after="0"/>
              <w:rPr>
                <w:sz w:val="22"/>
                <w:szCs w:val="22"/>
                <w:color w:val="auto"/>
              </w:rPr>
            </w:pPr>
          </w:p>
        </w:tc>
        <w:tc>
          <w:tcPr>
            <w:tcW w:w="240" w:type="dxa"/>
            <w:vAlign w:val="bottom"/>
            <w:tcBorders>
              <w:top w:val="single" w:sz="8" w:color="auto"/>
              <w:bottom w:val="single" w:sz="8" w:color="auto"/>
            </w:tcBorders>
            <w:shd w:val="clear" w:color="auto" w:fill="CCEC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347.6</w:t>
            </w:r>
          </w:p>
        </w:tc>
        <w:tc>
          <w:tcPr>
            <w:tcW w:w="160" w:type="dxa"/>
            <w:vAlign w:val="bottom"/>
            <w:tcBorders>
              <w:bottom w:val="single" w:sz="8" w:color="CCECFF"/>
            </w:tcBorders>
            <w:shd w:val="clear" w:color="auto" w:fill="CCECFF"/>
          </w:tcPr>
          <w:p>
            <w:pPr>
              <w:spacing w:after="0"/>
              <w:rPr>
                <w:sz w:val="22"/>
                <w:szCs w:val="22"/>
                <w:color w:val="auto"/>
              </w:rPr>
            </w:pPr>
          </w:p>
        </w:tc>
        <w:tc>
          <w:tcPr>
            <w:tcW w:w="1720" w:type="dxa"/>
            <w:vAlign w:val="bottom"/>
            <w:tcBorders>
              <w:bottom w:val="single" w:sz="8" w:color="CCECFF"/>
            </w:tcBorders>
            <w:gridSpan w:val="3"/>
            <w:shd w:val="clear" w:color="auto" w:fill="CCECFF"/>
          </w:tcPr>
          <w:p>
            <w:pPr>
              <w:jc w:val="right"/>
              <w:ind w:right="110"/>
              <w:spacing w:after="0"/>
              <w:rPr>
                <w:sz w:val="20"/>
                <w:szCs w:val="20"/>
                <w:color w:val="auto"/>
              </w:rPr>
            </w:pPr>
            <w:r>
              <w:rPr>
                <w:rFonts w:ascii="Arial" w:cs="Arial" w:eastAsia="Arial" w:hAnsi="Arial"/>
                <w:sz w:val="18"/>
                <w:szCs w:val="18"/>
                <w:color w:val="auto"/>
              </w:rPr>
              <w:t>(28.5 )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-5325110</wp:posOffset>
            </wp:positionV>
            <wp:extent cx="76835"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-5325110</wp:posOffset>
            </wp:positionV>
            <wp:extent cx="6858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-3458845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-3441700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-3458845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-3441700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-1746250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-1729105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-1746250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-1729105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-24765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-7620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-24765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ind w:left="1020" w:hanging="504"/>
        <w:spacing w:after="0" w:line="257" w:lineRule="auto"/>
        <w:tabs>
          <w:tab w:leader="none" w:pos="10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CCS - </w:t>
      </w:r>
      <w:r>
        <w:rPr>
          <w:rFonts w:ascii="Arial" w:cs="Arial" w:eastAsia="Arial" w:hAnsi="Arial"/>
          <w:sz w:val="20"/>
          <w:szCs w:val="20"/>
          <w:color w:val="auto"/>
        </w:rPr>
        <w:t>Net sales of $632.5 million decreased 37.2% from the prior year period primarily driven by declines in Network</w:t>
      </w:r>
      <w:r>
        <w:rPr>
          <w:rFonts w:ascii="Arial" w:cs="Arial" w:eastAsia="Arial" w:hAnsi="Arial"/>
          <w:sz w:val="20"/>
          <w:szCs w:val="20"/>
          <w:b w:val="1"/>
          <w:bCs w:val="1"/>
          <w:color w:val="auto"/>
        </w:rPr>
        <w:t xml:space="preserve"> </w:t>
      </w:r>
      <w:r>
        <w:rPr>
          <w:rFonts w:ascii="Arial" w:cs="Arial" w:eastAsia="Arial" w:hAnsi="Arial"/>
          <w:sz w:val="20"/>
          <w:szCs w:val="20"/>
          <w:color w:val="auto"/>
        </w:rPr>
        <w:t>Cable and Connectivity and Building and Data Center Connectivity.</w:t>
      </w:r>
    </w:p>
    <w:p>
      <w:pPr>
        <w:spacing w:after="0" w:line="46" w:lineRule="exact"/>
        <w:rPr>
          <w:rFonts w:ascii="Arial" w:cs="Arial" w:eastAsia="Arial" w:hAnsi="Arial"/>
          <w:sz w:val="20"/>
          <w:szCs w:val="20"/>
          <w:color w:val="auto"/>
        </w:rPr>
      </w:pPr>
    </w:p>
    <w:p>
      <w:pPr>
        <w:ind w:left="1020" w:right="220" w:hanging="504"/>
        <w:spacing w:after="0" w:line="257" w:lineRule="auto"/>
        <w:tabs>
          <w:tab w:leader="none" w:pos="10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NICS - </w:t>
      </w:r>
      <w:r>
        <w:rPr>
          <w:rFonts w:ascii="Arial" w:cs="Arial" w:eastAsia="Arial" w:hAnsi="Arial"/>
          <w:sz w:val="20"/>
          <w:szCs w:val="20"/>
          <w:color w:val="auto"/>
        </w:rPr>
        <w:t>Net sales of $289.0 million increased 12.1% from the prior year period primarily driven by growth in Ruckus</w:t>
      </w:r>
      <w:r>
        <w:rPr>
          <w:rFonts w:ascii="Arial" w:cs="Arial" w:eastAsia="Arial" w:hAnsi="Arial"/>
          <w:sz w:val="20"/>
          <w:szCs w:val="20"/>
          <w:b w:val="1"/>
          <w:bCs w:val="1"/>
          <w:color w:val="auto"/>
        </w:rPr>
        <w:t xml:space="preserve"> </w:t>
      </w:r>
      <w:r>
        <w:rPr>
          <w:rFonts w:ascii="Arial" w:cs="Arial" w:eastAsia="Arial" w:hAnsi="Arial"/>
          <w:sz w:val="20"/>
          <w:szCs w:val="20"/>
          <w:color w:val="auto"/>
        </w:rPr>
        <w:t>and Intelligent Cellular Networks.</w:t>
      </w:r>
    </w:p>
    <w:p>
      <w:pPr>
        <w:spacing w:after="0" w:line="46" w:lineRule="exact"/>
        <w:rPr>
          <w:rFonts w:ascii="Arial" w:cs="Arial" w:eastAsia="Arial" w:hAnsi="Arial"/>
          <w:sz w:val="20"/>
          <w:szCs w:val="20"/>
          <w:color w:val="auto"/>
        </w:rPr>
      </w:pPr>
    </w:p>
    <w:p>
      <w:pPr>
        <w:ind w:left="1020" w:right="220" w:hanging="504"/>
        <w:spacing w:after="0" w:line="257" w:lineRule="auto"/>
        <w:tabs>
          <w:tab w:leader="none" w:pos="10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OWN - </w:t>
      </w:r>
      <w:r>
        <w:rPr>
          <w:rFonts w:ascii="Arial" w:cs="Arial" w:eastAsia="Arial" w:hAnsi="Arial"/>
          <w:sz w:val="20"/>
          <w:szCs w:val="20"/>
          <w:color w:val="auto"/>
        </w:rPr>
        <w:t>Net sales of $210.3 million decreased 45.0% from the prior year period primarily driven by declines in Base</w:t>
      </w:r>
      <w:r>
        <w:rPr>
          <w:rFonts w:ascii="Arial" w:cs="Arial" w:eastAsia="Arial" w:hAnsi="Arial"/>
          <w:sz w:val="20"/>
          <w:szCs w:val="20"/>
          <w:b w:val="1"/>
          <w:bCs w:val="1"/>
          <w:color w:val="auto"/>
        </w:rPr>
        <w:t xml:space="preserve"> </w:t>
      </w:r>
      <w:r>
        <w:rPr>
          <w:rFonts w:ascii="Arial" w:cs="Arial" w:eastAsia="Arial" w:hAnsi="Arial"/>
          <w:sz w:val="20"/>
          <w:szCs w:val="20"/>
          <w:color w:val="auto"/>
        </w:rPr>
        <w:t>Station Antennas and HELIAX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ind w:left="1020" w:right="100" w:hanging="504"/>
        <w:spacing w:after="0" w:line="257" w:lineRule="auto"/>
        <w:tabs>
          <w:tab w:leader="none" w:pos="102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ANS - </w:t>
      </w:r>
      <w:r>
        <w:rPr>
          <w:rFonts w:ascii="Arial" w:cs="Arial" w:eastAsia="Arial" w:hAnsi="Arial"/>
          <w:sz w:val="20"/>
          <w:szCs w:val="20"/>
          <w:color w:val="auto"/>
        </w:rPr>
        <w:t>Net sales of $218.3 million decreased 36.2% from the prior year period primarily driven by declines in Access</w:t>
      </w:r>
      <w:r>
        <w:rPr>
          <w:rFonts w:ascii="Arial" w:cs="Arial" w:eastAsia="Arial" w:hAnsi="Arial"/>
          <w:sz w:val="20"/>
          <w:szCs w:val="20"/>
          <w:b w:val="1"/>
          <w:bCs w:val="1"/>
          <w:color w:val="auto"/>
        </w:rPr>
        <w:t xml:space="preserve"> </w:t>
      </w:r>
      <w:r>
        <w:rPr>
          <w:rFonts w:ascii="Arial" w:cs="Arial" w:eastAsia="Arial" w:hAnsi="Arial"/>
          <w:sz w:val="20"/>
          <w:szCs w:val="20"/>
          <w:color w:val="auto"/>
        </w:rPr>
        <w:t>Technologies and Converged Network Systems.</w:t>
      </w:r>
    </w:p>
    <w:p>
      <w:pPr>
        <w:spacing w:after="0" w:line="46" w:lineRule="exact"/>
        <w:rPr>
          <w:rFonts w:ascii="Arial" w:cs="Arial" w:eastAsia="Arial" w:hAnsi="Arial"/>
          <w:sz w:val="20"/>
          <w:szCs w:val="20"/>
          <w:color w:val="auto"/>
        </w:rPr>
      </w:pPr>
    </w:p>
    <w:p>
      <w:pPr>
        <w:ind w:left="1020" w:right="100" w:hanging="504"/>
        <w:spacing w:after="0" w:line="236" w:lineRule="auto"/>
        <w:tabs>
          <w:tab w:leader="none" w:pos="102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Home </w:t>
      </w:r>
      <w:r>
        <w:rPr>
          <w:rFonts w:ascii="Arial" w:cs="Arial" w:eastAsia="Arial" w:hAnsi="Arial"/>
          <w:sz w:val="20"/>
          <w:szCs w:val="20"/>
          <w:color w:val="auto"/>
        </w:rPr>
        <w:t>- Net sales of $249.4 million decreased 36.3% from the prior year period driven by declines in Broadband</w:t>
      </w:r>
      <w:r>
        <w:rPr>
          <w:rFonts w:ascii="Arial" w:cs="Arial" w:eastAsia="Arial" w:hAnsi="Arial"/>
          <w:sz w:val="20"/>
          <w:szCs w:val="20"/>
          <w:b w:val="1"/>
          <w:bCs w:val="1"/>
          <w:color w:val="auto"/>
        </w:rPr>
        <w:t xml:space="preserve"> </w:t>
      </w:r>
      <w:r>
        <w:rPr>
          <w:rFonts w:ascii="Arial" w:cs="Arial" w:eastAsia="Arial" w:hAnsi="Arial"/>
          <w:sz w:val="20"/>
          <w:szCs w:val="20"/>
          <w:color w:val="auto"/>
        </w:rPr>
        <w:t>Home Solutions and Home Media Solutions. As previously announced, on October 2, 2023, CommScope signed an agreement with Vantiva SA to divest of its Home segment. The transaction is expected to close in the first quarter of 2024.</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and Balance Sheet</w:t>
      </w:r>
    </w:p>
    <w:p>
      <w:pPr>
        <w:spacing w:after="0" w:line="104" w:lineRule="exact"/>
        <w:rPr>
          <w:sz w:val="20"/>
          <w:szCs w:val="20"/>
          <w:color w:val="auto"/>
        </w:rPr>
      </w:pPr>
    </w:p>
    <w:p>
      <w:pPr>
        <w:ind w:left="1020" w:hanging="504"/>
        <w:spacing w:after="0"/>
        <w:tabs>
          <w:tab w:leader="none" w:pos="1020" w:val="left"/>
        </w:tabs>
        <w:numPr>
          <w:ilvl w:val="0"/>
          <w:numId w:val="6"/>
        </w:numPr>
        <w:rPr>
          <w:rFonts w:ascii="Arial" w:cs="Arial" w:eastAsia="Arial" w:hAnsi="Arial"/>
          <w:sz w:val="20"/>
          <w:szCs w:val="20"/>
          <w:color w:val="auto"/>
        </w:rPr>
      </w:pPr>
      <w:r>
        <w:rPr>
          <w:rFonts w:ascii="Arial" w:cs="Arial" w:eastAsia="Arial" w:hAnsi="Arial"/>
          <w:sz w:val="20"/>
          <w:szCs w:val="20"/>
          <w:color w:val="auto"/>
        </w:rPr>
        <w:t>GAAP cash flow generated by operations was $138.8 million.</w:t>
      </w:r>
    </w:p>
    <w:p>
      <w:pPr>
        <w:spacing w:after="0" w:line="107" w:lineRule="exact"/>
        <w:rPr>
          <w:rFonts w:ascii="Arial" w:cs="Arial" w:eastAsia="Arial" w:hAnsi="Arial"/>
          <w:sz w:val="20"/>
          <w:szCs w:val="20"/>
          <w:color w:val="auto"/>
        </w:rPr>
      </w:pPr>
    </w:p>
    <w:p>
      <w:pPr>
        <w:ind w:left="1020" w:right="20" w:hanging="504"/>
        <w:spacing w:after="0" w:line="237" w:lineRule="auto"/>
        <w:tabs>
          <w:tab w:leader="none" w:pos="1020" w:val="left"/>
        </w:tabs>
        <w:numPr>
          <w:ilvl w:val="0"/>
          <w:numId w:val="6"/>
        </w:numPr>
        <w:rPr>
          <w:rFonts w:ascii="Arial" w:cs="Arial" w:eastAsia="Arial" w:hAnsi="Arial"/>
          <w:sz w:val="20"/>
          <w:szCs w:val="20"/>
          <w:color w:val="auto"/>
        </w:rPr>
      </w:pPr>
      <w:r>
        <w:rPr>
          <w:rFonts w:ascii="Arial" w:cs="Arial" w:eastAsia="Arial" w:hAnsi="Arial"/>
          <w:sz w:val="20"/>
          <w:szCs w:val="20"/>
          <w:color w:val="auto"/>
        </w:rPr>
        <w:t>Non-GAAP adjusted free cash flow was $181.7 million after adjusting operating cash flow for $8.7 million of additions to property, plant and equipment, $40.1 million of cash paid for restructuring costs and $11.5 million of cash paid for transaction, transformation and integration costs.</w:t>
      </w:r>
    </w:p>
    <w:p>
      <w:pPr>
        <w:spacing w:after="0" w:line="73" w:lineRule="exact"/>
        <w:rPr>
          <w:rFonts w:ascii="Arial" w:cs="Arial" w:eastAsia="Arial" w:hAnsi="Arial"/>
          <w:sz w:val="20"/>
          <w:szCs w:val="20"/>
          <w:color w:val="auto"/>
        </w:rPr>
      </w:pPr>
    </w:p>
    <w:p>
      <w:pPr>
        <w:ind w:left="1020" w:hanging="504"/>
        <w:spacing w:after="0"/>
        <w:tabs>
          <w:tab w:leader="none" w:pos="10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ended the quarter with $518.9 million in cash and cash equivalents.</w:t>
      </w:r>
    </w:p>
    <w:p>
      <w:pPr>
        <w:spacing w:after="0" w:line="107" w:lineRule="exact"/>
        <w:rPr>
          <w:rFonts w:ascii="Arial" w:cs="Arial" w:eastAsia="Arial" w:hAnsi="Arial"/>
          <w:sz w:val="20"/>
          <w:szCs w:val="20"/>
          <w:color w:val="auto"/>
        </w:rPr>
      </w:pPr>
    </w:p>
    <w:p>
      <w:pPr>
        <w:ind w:left="1020" w:right="220" w:hanging="504"/>
        <w:spacing w:after="0" w:line="237" w:lineRule="auto"/>
        <w:tabs>
          <w:tab w:leader="none" w:pos="1020" w:val="left"/>
        </w:tabs>
        <w:numPr>
          <w:ilvl w:val="0"/>
          <w:numId w:val="6"/>
        </w:numPr>
        <w:rPr>
          <w:rFonts w:ascii="Arial" w:cs="Arial" w:eastAsia="Arial" w:hAnsi="Arial"/>
          <w:sz w:val="20"/>
          <w:szCs w:val="20"/>
          <w:color w:val="auto"/>
        </w:rPr>
      </w:pPr>
      <w:r>
        <w:rPr>
          <w:rFonts w:ascii="Arial" w:cs="Arial" w:eastAsia="Arial" w:hAnsi="Arial"/>
          <w:sz w:val="20"/>
          <w:szCs w:val="20"/>
          <w:color w:val="auto"/>
        </w:rPr>
        <w:t>As of September 30, 2023, the Company had no outstanding borrowings under its asset-based revolving credit facility and had availability of $771.4 million, after giving effect to borrowing base limitations and outstanding letters of credit. The Company ended the quarter with total liquidity of approximately $1,290.3 million.</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Webcast and Investor Presentation</w:t>
      </w:r>
    </w:p>
    <w:p>
      <w:pPr>
        <w:spacing w:after="0" w:line="10"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color w:val="auto"/>
        </w:rPr>
        <w:t>As previously announced, CommScope will host a conference call today at 8:30 a.m. ET in which management will discuss third quarter 2023 results. The conference call will also be webcast.</w:t>
      </w:r>
    </w:p>
    <w:p>
      <w:pPr>
        <w:spacing w:after="0" w:line="181" w:lineRule="exact"/>
        <w:rPr>
          <w:sz w:val="20"/>
          <w:szCs w:val="20"/>
          <w:color w:val="auto"/>
        </w:rPr>
      </w:pPr>
    </w:p>
    <w:p>
      <w:pPr>
        <w:ind w:right="460"/>
        <w:spacing w:after="0" w:line="246" w:lineRule="auto"/>
        <w:rPr>
          <w:sz w:val="20"/>
          <w:szCs w:val="20"/>
          <w:color w:val="auto"/>
        </w:rPr>
      </w:pPr>
      <w:r>
        <w:rPr>
          <w:rFonts w:ascii="Arial" w:cs="Arial" w:eastAsia="Arial" w:hAnsi="Arial"/>
          <w:sz w:val="20"/>
          <w:szCs w:val="20"/>
          <w:color w:val="auto"/>
        </w:rPr>
        <w:t>The live, listen-only audio of the call will be available through a link on the Events and Presentations page of CommScope’s Investor Relations website.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A webcast replay will be archived on CommScope’s website for a limited period of time following the conference call.</w:t>
      </w:r>
    </w:p>
    <w:p>
      <w:pPr>
        <w:spacing w:after="0" w:line="202"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that have occurred after quarter-end, including questions relating to the planned divestiture of the Home segment. The Company’s responses to questions, as well as other matters discussed during the conference call, may contain or constitute information that has not been disclosed previously.</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CommScope:</w:t>
      </w:r>
    </w:p>
    <w:p>
      <w:pPr>
        <w:spacing w:after="0" w:line="10" w:lineRule="exact"/>
        <w:rPr>
          <w:sz w:val="20"/>
          <w:szCs w:val="20"/>
          <w:color w:val="auto"/>
        </w:rPr>
      </w:pPr>
    </w:p>
    <w:p>
      <w:pPr>
        <w:ind w:right="320"/>
        <w:spacing w:after="0" w:line="232" w:lineRule="auto"/>
        <w:rPr>
          <w:sz w:val="20"/>
          <w:szCs w:val="20"/>
          <w:color w:val="auto"/>
        </w:rPr>
      </w:pPr>
      <w:r>
        <w:rPr>
          <w:rFonts w:ascii="Arial" w:cs="Arial" w:eastAsia="Arial" w:hAnsi="Arial"/>
          <w:sz w:val="20"/>
          <w:szCs w:val="20"/>
          <w:color w:val="auto"/>
        </w:rPr>
        <w:t>CommScope (NASDAQ: COMM) is pushing the boundaries of technology to create the world’s most advanced wired and wireless networks. Our global team of employees, innovators and technologists empower customers to anticipate what’s next and invent what’s possible. Discover more at www.commscope.com.</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Follow us on Twitter and LinkedIn and like us on Facebook.</w:t>
      </w:r>
    </w:p>
    <w:p>
      <w:pPr>
        <w:spacing w:after="0"/>
        <w:rPr>
          <w:sz w:val="20"/>
          <w:szCs w:val="20"/>
          <w:color w:val="auto"/>
        </w:rPr>
      </w:pPr>
      <w:r>
        <w:rPr>
          <w:rFonts w:ascii="Arial" w:cs="Arial" w:eastAsia="Arial" w:hAnsi="Arial"/>
          <w:sz w:val="20"/>
          <w:szCs w:val="20"/>
          <w:color w:val="auto"/>
        </w:rPr>
        <w:t>Sign up for our press releases and blog posts.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35" w:lineRule="auto"/>
        <w:rPr>
          <w:sz w:val="20"/>
          <w:szCs w:val="20"/>
          <w:color w:val="auto"/>
        </w:rPr>
      </w:pPr>
      <w:r>
        <w:rPr>
          <w:rFonts w:ascii="Arial" w:cs="Arial" w:eastAsia="Arial" w:hAnsi="Arial"/>
          <w:sz w:val="20"/>
          <w:szCs w:val="20"/>
          <w:color w:val="auto"/>
        </w:rPr>
        <w:t>Massimo Disabato, CommScope</w:t>
      </w:r>
    </w:p>
    <w:p>
      <w:pPr>
        <w:spacing w:after="0" w:line="225" w:lineRule="auto"/>
        <w:rPr>
          <w:sz w:val="20"/>
          <w:szCs w:val="20"/>
          <w:color w:val="auto"/>
        </w:rPr>
      </w:pPr>
      <w:r>
        <w:rPr>
          <w:rFonts w:ascii="Arial" w:cs="Arial" w:eastAsia="Arial" w:hAnsi="Arial"/>
          <w:sz w:val="20"/>
          <w:szCs w:val="20"/>
          <w:color w:val="auto"/>
        </w:rPr>
        <w:t>+1 630-281-3413</w:t>
      </w:r>
    </w:p>
    <w:p>
      <w:pPr>
        <w:spacing w:after="0"/>
        <w:rPr>
          <w:sz w:val="20"/>
          <w:szCs w:val="20"/>
          <w:color w:val="auto"/>
        </w:rPr>
      </w:pPr>
      <w:r>
        <w:rPr>
          <w:rFonts w:ascii="Arial" w:cs="Arial" w:eastAsia="Arial" w:hAnsi="Arial"/>
          <w:sz w:val="20"/>
          <w:szCs w:val="20"/>
          <w:color w:val="auto"/>
        </w:rPr>
        <w:t>Massimo.Disabato@commscope.com</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News Media Contact: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publicrelations@commscope.com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Non-GAAP Financial Measures</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CommScope management believes that presenting certain non-GAAP financial measures enhances an investor’s understanding of our financial performance. CommScope management further believes that these financial measures are useful in assessing CommScope’s operating performance from period to period by excluding certain items that we believe are not representative of our core business. CommScope management also uses certain of these financial measures for business planning purposes and in measuring CommScope’s performance relative to that of its competitors. CommScope management believes these financial measures are commonly used by investors to evaluate CommScope’s performance and that of its competitors. However, CommScope’s use of certain non-GAAP terms may vary from that of others in its industry. Non-GAAP financial measures should not be considered as alternatives to operating income (loss), net income (loss), cash flow from operations or any other performance measures derived in accordance with U.S. GAAP as measures of operating performance, operating cash flows or liquidity. A reconciliation of each of the non-GAAP measures discussed herein to their most comparable GAAP measures is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Core Measures</w:t>
      </w:r>
    </w:p>
    <w:p>
      <w:pPr>
        <w:spacing w:after="0" w:line="104" w:lineRule="exact"/>
        <w:rPr>
          <w:sz w:val="20"/>
          <w:szCs w:val="20"/>
          <w:color w:val="auto"/>
        </w:rPr>
      </w:pPr>
    </w:p>
    <w:p>
      <w:pPr>
        <w:ind w:right="160"/>
        <w:spacing w:after="0" w:line="232" w:lineRule="auto"/>
        <w:rPr>
          <w:sz w:val="20"/>
          <w:szCs w:val="20"/>
          <w:color w:val="auto"/>
        </w:rPr>
      </w:pPr>
      <w:r>
        <w:rPr>
          <w:rFonts w:ascii="Arial" w:cs="Arial" w:eastAsia="Arial" w:hAnsi="Arial"/>
          <w:sz w:val="20"/>
          <w:szCs w:val="20"/>
          <w:color w:val="auto"/>
        </w:rPr>
        <w:t>CommScope believes that presenting Core financial measures enhances the investor’s understanding of the financial performance of the Company’s core businesses. Core financial measures are the aggregate of the CCS, NICS, OWN and ANS segments. They do not include the results of the Home segment. The Core segments and the Home segment represent the business segments as currently managed and reported by CommScope. Future results and the composition of any business divested in the future may vary and differ materially from the presentation of the Core financial measures.</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04"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This press release or any other oral or written statements made by us or on our behalf may include forward-looking statements that reflect our current views with respect to future events and financial performance. These statements may discuss goals, targets, intentions or expectations as to future plans, trends, events, results of operations or financial condition or otherwise, in each case, based on current beliefs and expectations of management, as well as assumptions made by, and information currently available to, management.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w:t>
      </w:r>
    </w:p>
    <w:p>
      <w:pPr>
        <w:spacing w:after="0" w:line="183"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These forward-looking statements are subject to various risks and uncertainties, many of which are outside our control, including, without limitation, our dependence on customers’ capital spending on data, communication and entertainment equipment, which could be negatively impacted by a regional or global economic downturn, among other factors; the potential impact of higher than normal inflation; concentration of sales among a limited number of customers and channel partners; risks associated with our sales through channel partners; changes to the regulatory environment in which we and our customers operate; changes in technology; industry competition and the ability to retain customers through product innovation, introduction, and marketing; changes in cost and availability of key raw materials, components and commodities and the potential effect on customer pricing and timing of delivery of products to customers; risks related to our ability to implement price increases on our products and services; risks associated with our dependence on a limited number of key suppliers for certain raw materials and components; risks related to the successful execution of CommScope NEXT; potential difficulties in realigning global manufacturing capacity and capabilities among our global manufacturing facilities or those of our contract manufacturers that may affect our ability to meet customer demands for products; possible future restructuring actions; the risk that our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8" w:name="page9"/>
    <w:bookmarkEnd w:id="8"/>
    <w:p>
      <w:pPr>
        <w:spacing w:after="0"/>
        <w:rPr>
          <w:sz w:val="20"/>
          <w:szCs w:val="20"/>
          <w:color w:val="auto"/>
        </w:rPr>
      </w:pPr>
      <w:r>
        <w:rPr>
          <w:rFonts w:ascii="Arial" w:cs="Arial" w:eastAsia="Arial" w:hAnsi="Arial"/>
          <w:sz w:val="19"/>
          <w:szCs w:val="19"/>
          <w:color w:val="auto"/>
        </w:rPr>
        <w:t>operations, including our contract manufacturers on which we rely, encounter capacity, production, quality, financial or other difficulties causing difficulty in meeting customer demands; substantial indebtedness and restrictive debt covenants; our ability to incur additional indebtedness and increases in interest rates; our ability to generate cash to service our indebtedness; the divestiture of the Home segment and its effect on our remaining businesses; the potential separation, divestiture or discontinuance of another business or product line, including uncertainty regarding the timing of the separation, achievement of the expected benefits and the potential disruption to the business; our ability to integrate and fully realize anticipated benefits from prior or future divestitures, acquisitions or equity investments; possible future additional impairment charges for fixed or intangible assets, including goodwill; our ability to attract and retain qualified key employees; labor unrest; product quality or performance issues, including those associated with our suppliers or contract manufacturers, and associated warranty claims; our ability to maintain effective management information technology systems and to successfully implement major systems initiatives; cyber-security incidents, including data security breaches, ransomware or computer viruses; the use of open standards; the long-term impact of climate change; significant international operations exposing us to economic risks like variability in foreign exchange rates and inflation, as well as political and other risks, including the impact of wars, regional conflicts and terrorism; our ability to comply with governmental anti-corruption laws and regulations worldwide; the impact of export and import controls and sanctions worldwide on our supply chain and ability to compete in international markets; changes in the laws and policies in the United States affecting trade, including the risk and uncertainty related to tariffs or potential trade wars and potential changes to laws and policies, that may impact our products; the costs of protecting or defending intellectual property; costs and challenges of compliance with domestic and foreign social and environmental laws; the impact of litigation and similar regulatory proceedings in which we are involved or may become involved, including the costs of such litigation; the scope, duration and impact of disease outbreaks and pandemics, such as COVID-19, on our business, including employees, sites, operations, customers, supply chain logistics and the global economy; our stock price volatility; income tax rate variability and ability to recover amounts recorded as deferred tax assets; and other factors beyond our control. These and other factors are discussed in greater detail in our 2022 Annual Report on Form 10-K and may be updated from time to time in our annual reports, quarterly reports, current reports and other filings we make with the Securities and Exchange Commission. Although the information contained in this press release represents our best judgment as of the date of this release based on information currently available and reasonable assumptions, we can give no assurance that the expectations will be attained or that any deviation will not be material. Given these uncertainties, we caution you not to place undue reliance on these forward-looking statements, which speak only as of the date made. We are not undertaking any duty or obligation to update this information to reflect developments or information obtained after the date of this press release, except as otherwise may be required by law.</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 w:name="page10"/>
    <w:bookmarkEnd w:id="9"/>
    <w:p>
      <w:pPr>
        <w:jc w:val="center"/>
        <w:ind w:right="100"/>
        <w:spacing w:after="0"/>
        <w:rPr>
          <w:sz w:val="20"/>
          <w:szCs w:val="20"/>
          <w:color w:val="auto"/>
        </w:rPr>
      </w:pPr>
      <w:r>
        <w:rPr>
          <w:rFonts w:ascii="Arial" w:cs="Arial" w:eastAsia="Arial" w:hAnsi="Arial"/>
          <w:sz w:val="18"/>
          <w:szCs w:val="18"/>
          <w:b w:val="1"/>
          <w:bCs w:val="1"/>
          <w:color w:val="auto"/>
        </w:rPr>
        <w:t>CommScope Holding Company, Inc.</w:t>
      </w:r>
    </w:p>
    <w:p>
      <w:pPr>
        <w:spacing w:after="0" w:line="36"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(Unaudited -- In millions, except per share amounts)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jc w:val="right"/>
              <w:ind w:right="621"/>
              <w:spacing w:after="0"/>
              <w:rPr>
                <w:sz w:val="20"/>
                <w:szCs w:val="20"/>
                <w:color w:val="auto"/>
              </w:rPr>
            </w:pPr>
            <w:r>
              <w:rPr>
                <w:rFonts w:ascii="Arial" w:cs="Arial" w:eastAsia="Arial" w:hAnsi="Arial"/>
                <w:sz w:val="14"/>
                <w:szCs w:val="14"/>
                <w:b w:val="1"/>
                <w:bCs w:val="1"/>
                <w:color w:val="auto"/>
              </w:rPr>
              <w:t>Nine Months Ended</w:t>
            </w:r>
          </w:p>
        </w:tc>
      </w:tr>
      <w:tr>
        <w:trPr>
          <w:trHeight w:val="228"/>
        </w:trPr>
        <w:tc>
          <w:tcPr>
            <w:tcW w:w="6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r>
      <w:tr>
        <w:trPr>
          <w:trHeight w:val="236"/>
        </w:trPr>
        <w:tc>
          <w:tcPr>
            <w:tcW w:w="600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1,599.5</w:t>
            </w:r>
          </w:p>
        </w:tc>
        <w:tc>
          <w:tcPr>
            <w:tcW w:w="320" w:type="dxa"/>
            <w:vAlign w:val="bottom"/>
            <w:shd w:val="clear" w:color="auto" w:fill="CCECFF"/>
          </w:tcPr>
          <w:p>
            <w:pPr>
              <w:spacing w:after="0"/>
              <w:rPr>
                <w:sz w:val="20"/>
                <w:szCs w:val="20"/>
                <w:color w:val="auto"/>
              </w:rPr>
            </w:pP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2,381.4</w:t>
            </w:r>
          </w:p>
        </w:tc>
        <w:tc>
          <w:tcPr>
            <w:tcW w:w="120" w:type="dxa"/>
            <w:vAlign w:val="bottom"/>
            <w:shd w:val="clear" w:color="auto" w:fill="CCECFF"/>
          </w:tcPr>
          <w:p>
            <w:pPr>
              <w:spacing w:after="0"/>
              <w:rPr>
                <w:sz w:val="20"/>
                <w:szCs w:val="20"/>
                <w:color w:val="auto"/>
              </w:rPr>
            </w:pPr>
          </w:p>
        </w:tc>
        <w:tc>
          <w:tcPr>
            <w:tcW w:w="44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5,519.4</w:t>
            </w:r>
          </w:p>
        </w:tc>
        <w:tc>
          <w:tcPr>
            <w:tcW w:w="280" w:type="dxa"/>
            <w:vAlign w:val="bottom"/>
            <w:shd w:val="clear" w:color="auto" w:fill="CCECFF"/>
          </w:tcPr>
          <w:p>
            <w:pPr>
              <w:spacing w:after="0"/>
              <w:rPr>
                <w:sz w:val="20"/>
                <w:szCs w:val="20"/>
                <w:color w:val="auto"/>
              </w:rPr>
            </w:pPr>
          </w:p>
        </w:tc>
        <w:tc>
          <w:tcPr>
            <w:tcW w:w="34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6,910.2</w:t>
            </w:r>
          </w:p>
        </w:tc>
        <w:tc>
          <w:tcPr>
            <w:tcW w:w="100" w:type="dxa"/>
            <w:vAlign w:val="bottom"/>
            <w:shd w:val="clear" w:color="auto" w:fill="CCECFF"/>
          </w:tcPr>
          <w:p>
            <w:pPr>
              <w:spacing w:after="0"/>
              <w:rPr>
                <w:sz w:val="20"/>
                <w:szCs w:val="20"/>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1,053.3</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3,664.3</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4,854.4</w:t>
            </w:r>
          </w:p>
        </w:tc>
        <w:tc>
          <w:tcPr>
            <w:tcW w:w="100" w:type="dxa"/>
            <w:vAlign w:val="bottom"/>
          </w:tcPr>
          <w:p>
            <w:pPr>
              <w:spacing w:after="0"/>
              <w:rPr>
                <w:sz w:val="21"/>
                <w:szCs w:val="21"/>
                <w:color w:val="auto"/>
              </w:rPr>
            </w:pPr>
          </w:p>
        </w:tc>
      </w:tr>
      <w:tr>
        <w:trPr>
          <w:trHeight w:val="236"/>
        </w:trPr>
        <w:tc>
          <w:tcPr>
            <w:tcW w:w="6000" w:type="dxa"/>
            <w:vAlign w:val="bottom"/>
            <w:shd w:val="clear" w:color="auto" w:fill="CCEC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CFF"/>
          </w:tcPr>
          <w:p>
            <w:pPr>
              <w:spacing w:after="0"/>
              <w:rPr>
                <w:sz w:val="20"/>
                <w:szCs w:val="20"/>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546.2</w:t>
            </w:r>
          </w:p>
        </w:tc>
        <w:tc>
          <w:tcPr>
            <w:tcW w:w="32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736.3</w:t>
            </w:r>
          </w:p>
        </w:tc>
        <w:tc>
          <w:tcPr>
            <w:tcW w:w="12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1,855.1</w:t>
            </w:r>
          </w:p>
        </w:tc>
        <w:tc>
          <w:tcPr>
            <w:tcW w:w="28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2,055.8</w:t>
            </w:r>
          </w:p>
        </w:tc>
        <w:tc>
          <w:tcPr>
            <w:tcW w:w="100" w:type="dxa"/>
            <w:vAlign w:val="bottom"/>
            <w:shd w:val="clear" w:color="auto" w:fill="CCECFF"/>
          </w:tcPr>
          <w:p>
            <w:pPr>
              <w:spacing w:after="0"/>
              <w:rPr>
                <w:sz w:val="20"/>
                <w:szCs w:val="20"/>
                <w:color w:val="auto"/>
              </w:rPr>
            </w:pPr>
          </w:p>
        </w:tc>
      </w:tr>
      <w:tr>
        <w:trPr>
          <w:trHeight w:val="236"/>
        </w:trPr>
        <w:tc>
          <w:tcPr>
            <w:tcW w:w="60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0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229.7</w:t>
            </w:r>
          </w:p>
        </w:tc>
        <w:tc>
          <w:tcPr>
            <w:tcW w:w="3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281.7</w:t>
            </w:r>
          </w:p>
        </w:tc>
        <w:tc>
          <w:tcPr>
            <w:tcW w:w="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748.1</w:t>
            </w:r>
          </w:p>
        </w:tc>
        <w:tc>
          <w:tcPr>
            <w:tcW w:w="28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844.9</w:t>
            </w:r>
          </w:p>
        </w:tc>
        <w:tc>
          <w:tcPr>
            <w:tcW w:w="100" w:type="dxa"/>
            <w:vAlign w:val="bottom"/>
            <w:shd w:val="clear" w:color="auto" w:fill="CCECFF"/>
          </w:tcPr>
          <w:p>
            <w:pPr>
              <w:spacing w:after="0"/>
              <w:rPr>
                <w:sz w:val="21"/>
                <w:szCs w:val="21"/>
                <w:color w:val="auto"/>
              </w:rPr>
            </w:pPr>
          </w:p>
        </w:tc>
      </w:tr>
      <w:tr>
        <w:trPr>
          <w:trHeight w:val="236"/>
        </w:trPr>
        <w:tc>
          <w:tcPr>
            <w:tcW w:w="60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432.1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498.0</w:t>
            </w:r>
          </w:p>
        </w:tc>
        <w:tc>
          <w:tcPr>
            <w:tcW w:w="100" w:type="dxa"/>
            <w:vAlign w:val="bottom"/>
          </w:tcPr>
          <w:p>
            <w:pPr>
              <w:spacing w:after="0"/>
              <w:rPr>
                <w:sz w:val="20"/>
                <w:szCs w:val="20"/>
                <w:color w:val="auto"/>
              </w:rPr>
            </w:pPr>
          </w:p>
        </w:tc>
      </w:tr>
      <w:tr>
        <w:trPr>
          <w:trHeight w:val="249"/>
        </w:trPr>
        <w:tc>
          <w:tcPr>
            <w:tcW w:w="60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Amortization of purchased intangible assets</w:t>
            </w: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101.3</w:t>
            </w:r>
          </w:p>
        </w:tc>
        <w:tc>
          <w:tcPr>
            <w:tcW w:w="3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134.6</w:t>
            </w:r>
          </w:p>
        </w:tc>
        <w:tc>
          <w:tcPr>
            <w:tcW w:w="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329.1</w:t>
            </w:r>
          </w:p>
        </w:tc>
        <w:tc>
          <w:tcPr>
            <w:tcW w:w="28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414.3</w:t>
            </w:r>
          </w:p>
        </w:tc>
        <w:tc>
          <w:tcPr>
            <w:tcW w:w="100" w:type="dxa"/>
            <w:vAlign w:val="bottom"/>
            <w:shd w:val="clear" w:color="auto" w:fill="CCECFF"/>
          </w:tcPr>
          <w:p>
            <w:pPr>
              <w:spacing w:after="0"/>
              <w:rPr>
                <w:sz w:val="21"/>
                <w:szCs w:val="21"/>
                <w:color w:val="auto"/>
              </w:rPr>
            </w:pPr>
          </w:p>
        </w:tc>
      </w:tr>
      <w:tr>
        <w:trPr>
          <w:trHeight w:val="236"/>
        </w:trPr>
        <w:tc>
          <w:tcPr>
            <w:tcW w:w="6000" w:type="dxa"/>
            <w:vAlign w:val="bottom"/>
          </w:tcPr>
          <w:p>
            <w:pPr>
              <w:ind w:left="120"/>
              <w:spacing w:after="0"/>
              <w:rPr>
                <w:sz w:val="20"/>
                <w:szCs w:val="20"/>
                <w:color w:val="auto"/>
              </w:rPr>
            </w:pPr>
            <w:r>
              <w:rPr>
                <w:rFonts w:ascii="Arial" w:cs="Arial" w:eastAsia="Arial" w:hAnsi="Arial"/>
                <w:sz w:val="18"/>
                <w:szCs w:val="18"/>
                <w:color w:val="auto"/>
              </w:rPr>
              <w:t>Restructuring costs, net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51.8</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0"/>
                <w:szCs w:val="20"/>
                <w:color w:val="auto"/>
              </w:rPr>
            </w:pPr>
          </w:p>
        </w:tc>
      </w:tr>
      <w:tr>
        <w:trPr>
          <w:trHeight w:val="249"/>
        </w:trPr>
        <w:tc>
          <w:tcPr>
            <w:tcW w:w="60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Asset impairments</w:t>
            </w: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895.1</w:t>
            </w:r>
          </w:p>
        </w:tc>
        <w:tc>
          <w:tcPr>
            <w:tcW w:w="3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895.1</w:t>
            </w:r>
          </w:p>
        </w:tc>
        <w:tc>
          <w:tcPr>
            <w:tcW w:w="28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840" w:type="dxa"/>
            <w:vAlign w:val="bottom"/>
            <w:gridSpan w:val="2"/>
            <w:shd w:val="clear" w:color="auto" w:fill="CCECFF"/>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6000" w:type="dxa"/>
            <w:vAlign w:val="bottom"/>
            <w:tcBorders>
              <w:top w:val="single" w:sz="8" w:color="CCECFF"/>
            </w:tcBorders>
          </w:tcPr>
          <w:p>
            <w:pPr>
              <w:ind w:left="3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1,372.0</w:t>
            </w:r>
          </w:p>
        </w:tc>
        <w:tc>
          <w:tcPr>
            <w:tcW w:w="320" w:type="dxa"/>
            <w:vAlign w:val="bottom"/>
            <w:tcBorders>
              <w:top w:val="single" w:sz="8" w:color="CCEC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580.7</w:t>
            </w:r>
          </w:p>
        </w:tc>
        <w:tc>
          <w:tcPr>
            <w:tcW w:w="120" w:type="dxa"/>
            <w:vAlign w:val="bottom"/>
            <w:tcBorders>
              <w:top w:val="single" w:sz="8" w:color="CCECFF"/>
            </w:tcBorders>
          </w:tcPr>
          <w:p>
            <w:pPr>
              <w:spacing w:after="0"/>
              <w:rPr>
                <w:sz w:val="20"/>
                <w:szCs w:val="20"/>
                <w:color w:val="auto"/>
              </w:rPr>
            </w:pPr>
          </w:p>
        </w:tc>
        <w:tc>
          <w:tcPr>
            <w:tcW w:w="180" w:type="dxa"/>
            <w:vAlign w:val="bottom"/>
            <w:tcBorders>
              <w:top w:val="single" w:sz="8" w:color="CCEC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2,456.2</w:t>
            </w:r>
          </w:p>
        </w:tc>
        <w:tc>
          <w:tcPr>
            <w:tcW w:w="280" w:type="dxa"/>
            <w:vAlign w:val="bottom"/>
            <w:tcBorders>
              <w:top w:val="single" w:sz="8" w:color="CCEC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1,810.3</w:t>
            </w:r>
          </w:p>
        </w:tc>
        <w:tc>
          <w:tcPr>
            <w:tcW w:w="100" w:type="dxa"/>
            <w:vAlign w:val="bottom"/>
            <w:tcBorders>
              <w:top w:val="single" w:sz="8" w:color="CCECFF"/>
            </w:tcBorders>
          </w:tcPr>
          <w:p>
            <w:pPr>
              <w:spacing w:after="0"/>
              <w:rPr>
                <w:sz w:val="20"/>
                <w:szCs w:val="20"/>
                <w:color w:val="auto"/>
              </w:rPr>
            </w:pPr>
          </w:p>
        </w:tc>
      </w:tr>
      <w:tr>
        <w:trPr>
          <w:trHeight w:val="236"/>
        </w:trPr>
        <w:tc>
          <w:tcPr>
            <w:tcW w:w="6000" w:type="dxa"/>
            <w:vAlign w:val="bottom"/>
            <w:shd w:val="clear" w:color="auto" w:fill="CCECFF"/>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CFF"/>
          </w:tcPr>
          <w:p>
            <w:pPr>
              <w:spacing w:after="0"/>
              <w:rPr>
                <w:sz w:val="20"/>
                <w:szCs w:val="20"/>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(825.8</w:t>
            </w:r>
          </w:p>
        </w:tc>
        <w:tc>
          <w:tcPr>
            <w:tcW w:w="32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CFF"/>
          </w:tcPr>
          <w:p>
            <w:pPr>
              <w:spacing w:after="0"/>
              <w:rPr>
                <w:sz w:val="20"/>
                <w:szCs w:val="20"/>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155.6</w:t>
            </w:r>
          </w:p>
        </w:tc>
        <w:tc>
          <w:tcPr>
            <w:tcW w:w="12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(601.1</w:t>
            </w:r>
          </w:p>
        </w:tc>
        <w:tc>
          <w:tcPr>
            <w:tcW w:w="280" w:type="dxa"/>
            <w:vAlign w:val="bottom"/>
            <w:shd w:val="clear" w:color="auto" w:fill="CCECFF"/>
          </w:tcPr>
          <w:p>
            <w:pPr>
              <w:jc w:val="right"/>
              <w:ind w:right="14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CFF"/>
          </w:tcPr>
          <w:p>
            <w:pPr>
              <w:spacing w:after="0"/>
              <w:rPr>
                <w:sz w:val="20"/>
                <w:szCs w:val="20"/>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shd w:val="clear" w:color="auto" w:fill="CCECFF"/>
          </w:tcPr>
          <w:p>
            <w:pPr>
              <w:spacing w:after="0"/>
              <w:rPr>
                <w:sz w:val="20"/>
                <w:szCs w:val="20"/>
                <w:color w:val="auto"/>
              </w:rPr>
            </w:pPr>
          </w:p>
        </w:tc>
      </w:tr>
      <w:tr>
        <w:trPr>
          <w:trHeight w:val="236"/>
        </w:trPr>
        <w:tc>
          <w:tcPr>
            <w:tcW w:w="60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r>
      <w:tr>
        <w:trPr>
          <w:trHeight w:val="249"/>
        </w:trPr>
        <w:tc>
          <w:tcPr>
            <w:tcW w:w="6000" w:type="dxa"/>
            <w:vAlign w:val="bottom"/>
            <w:shd w:val="clear" w:color="auto" w:fill="CCEC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CFF"/>
          </w:tcPr>
          <w:p>
            <w:pPr>
              <w:spacing w:after="0"/>
              <w:rPr>
                <w:sz w:val="21"/>
                <w:szCs w:val="21"/>
                <w:color w:val="auto"/>
              </w:rPr>
            </w:pPr>
          </w:p>
        </w:tc>
        <w:tc>
          <w:tcPr>
            <w:tcW w:w="1160" w:type="dxa"/>
            <w:vAlign w:val="bottom"/>
            <w:gridSpan w:val="2"/>
            <w:shd w:val="clear" w:color="auto" w:fill="CCECFF"/>
          </w:tcPr>
          <w:p>
            <w:pPr>
              <w:jc w:val="right"/>
              <w:ind w:right="150"/>
              <w:spacing w:after="0"/>
              <w:rPr>
                <w:sz w:val="20"/>
                <w:szCs w:val="20"/>
                <w:color w:val="auto"/>
              </w:rPr>
            </w:pPr>
            <w:r>
              <w:rPr>
                <w:rFonts w:ascii="Arial" w:cs="Arial" w:eastAsia="Arial" w:hAnsi="Arial"/>
                <w:sz w:val="18"/>
                <w:szCs w:val="18"/>
                <w:color w:val="auto"/>
              </w:rPr>
              <w:t>(171.3 )</w:t>
            </w:r>
          </w:p>
        </w:tc>
        <w:tc>
          <w:tcPr>
            <w:tcW w:w="280" w:type="dxa"/>
            <w:vAlign w:val="bottom"/>
            <w:shd w:val="clear" w:color="auto" w:fill="CCECFF"/>
          </w:tcPr>
          <w:p>
            <w:pPr>
              <w:spacing w:after="0"/>
              <w:rPr>
                <w:sz w:val="21"/>
                <w:szCs w:val="21"/>
                <w:color w:val="auto"/>
              </w:rPr>
            </w:pP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(150.9 )</w:t>
            </w:r>
          </w:p>
        </w:tc>
        <w:tc>
          <w:tcPr>
            <w:tcW w:w="1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141"/>
              <w:spacing w:after="0"/>
              <w:rPr>
                <w:sz w:val="20"/>
                <w:szCs w:val="20"/>
                <w:color w:val="auto"/>
              </w:rPr>
            </w:pPr>
            <w:r>
              <w:rPr>
                <w:rFonts w:ascii="Arial" w:cs="Arial" w:eastAsia="Arial" w:hAnsi="Arial"/>
                <w:sz w:val="18"/>
                <w:szCs w:val="18"/>
                <w:color w:val="auto"/>
              </w:rPr>
              <w:t>(504.9 )</w:t>
            </w:r>
          </w:p>
        </w:tc>
        <w:tc>
          <w:tcPr>
            <w:tcW w:w="340" w:type="dxa"/>
            <w:vAlign w:val="bottom"/>
            <w:shd w:val="clear" w:color="auto" w:fill="CCECFF"/>
          </w:tcPr>
          <w:p>
            <w:pPr>
              <w:spacing w:after="0"/>
              <w:rPr>
                <w:sz w:val="21"/>
                <w:szCs w:val="21"/>
                <w:color w:val="auto"/>
              </w:rPr>
            </w:pPr>
          </w:p>
        </w:tc>
        <w:tc>
          <w:tcPr>
            <w:tcW w:w="8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(427.5 )</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r>
      <w:tr>
        <w:trPr>
          <w:trHeight w:val="236"/>
        </w:trPr>
        <w:tc>
          <w:tcPr>
            <w:tcW w:w="6000" w:type="dxa"/>
            <w:vAlign w:val="bottom"/>
            <w:shd w:val="clear" w:color="auto" w:fill="CCECFF"/>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CFF"/>
          </w:tcPr>
          <w:p>
            <w:pPr>
              <w:spacing w:after="0"/>
              <w:rPr>
                <w:sz w:val="20"/>
                <w:szCs w:val="20"/>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(987.3</w:t>
            </w:r>
          </w:p>
        </w:tc>
        <w:tc>
          <w:tcPr>
            <w:tcW w:w="32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CFF"/>
          </w:tcPr>
          <w:p>
            <w:pPr>
              <w:spacing w:after="0"/>
              <w:rPr>
                <w:sz w:val="20"/>
                <w:szCs w:val="20"/>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(1,083.7</w:t>
            </w:r>
          </w:p>
        </w:tc>
        <w:tc>
          <w:tcPr>
            <w:tcW w:w="280" w:type="dxa"/>
            <w:vAlign w:val="bottom"/>
            <w:shd w:val="clear" w:color="auto" w:fill="CCECFF"/>
          </w:tcPr>
          <w:p>
            <w:pPr>
              <w:jc w:val="right"/>
              <w:ind w:right="14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CFF"/>
          </w:tcPr>
          <w:p>
            <w:pPr>
              <w:spacing w:after="0"/>
              <w:rPr>
                <w:sz w:val="20"/>
                <w:szCs w:val="20"/>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(173.8</w:t>
            </w: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158.6</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158.0</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(4.2 )</w:t>
            </w:r>
          </w:p>
        </w:tc>
      </w:tr>
      <w:tr>
        <w:trPr>
          <w:trHeight w:val="236"/>
        </w:trPr>
        <w:tc>
          <w:tcPr>
            <w:tcW w:w="600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shd w:val="clear" w:color="auto" w:fill="CCECFF"/>
          </w:tcPr>
          <w:p>
            <w:pPr>
              <w:spacing w:after="0"/>
              <w:rPr>
                <w:sz w:val="20"/>
                <w:szCs w:val="20"/>
                <w:color w:val="auto"/>
              </w:rPr>
            </w:pPr>
          </w:p>
        </w:tc>
        <w:tc>
          <w:tcPr>
            <w:tcW w:w="8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(828.7</w:t>
            </w:r>
          </w:p>
        </w:tc>
        <w:tc>
          <w:tcPr>
            <w:tcW w:w="32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CFF"/>
          </w:tcPr>
          <w:p>
            <w:pPr>
              <w:spacing w:after="0"/>
              <w:rPr>
                <w:sz w:val="20"/>
                <w:szCs w:val="20"/>
                <w:color w:val="auto"/>
              </w:rPr>
            </w:pP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260" w:type="dxa"/>
            <w:vAlign w:val="bottom"/>
            <w:tcBorders>
              <w:top w:val="single" w:sz="8" w:color="auto"/>
            </w:tcBorders>
            <w:shd w:val="clear" w:color="auto" w:fill="CCECFF"/>
          </w:tcPr>
          <w:p>
            <w:pPr>
              <w:spacing w:after="0"/>
              <w:rPr>
                <w:sz w:val="20"/>
                <w:szCs w:val="20"/>
                <w:color w:val="auto"/>
              </w:rPr>
            </w:pPr>
          </w:p>
        </w:tc>
        <w:tc>
          <w:tcPr>
            <w:tcW w:w="8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(925.7</w:t>
            </w:r>
          </w:p>
        </w:tc>
        <w:tc>
          <w:tcPr>
            <w:tcW w:w="280" w:type="dxa"/>
            <w:vAlign w:val="bottom"/>
            <w:shd w:val="clear" w:color="auto" w:fill="CCECFF"/>
          </w:tcPr>
          <w:p>
            <w:pPr>
              <w:jc w:val="right"/>
              <w:ind w:right="14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tcBorders>
            <w:shd w:val="clear" w:color="auto" w:fill="CCECFF"/>
          </w:tcPr>
          <w:p>
            <w:pPr>
              <w:spacing w:after="0"/>
              <w:rPr>
                <w:sz w:val="20"/>
                <w:szCs w:val="20"/>
                <w:color w:val="auto"/>
              </w:rPr>
            </w:pPr>
          </w:p>
        </w:tc>
        <w:tc>
          <w:tcPr>
            <w:tcW w:w="7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6000" w:type="dxa"/>
            <w:vAlign w:val="bottom"/>
          </w:tcPr>
          <w:p>
            <w:pPr>
              <w:ind w:left="20"/>
              <w:spacing w:after="0"/>
              <w:rPr>
                <w:sz w:val="20"/>
                <w:szCs w:val="20"/>
                <w:color w:val="auto"/>
              </w:rPr>
            </w:pPr>
            <w:r>
              <w:rPr>
                <w:rFonts w:ascii="Arial" w:cs="Arial" w:eastAsia="Arial" w:hAnsi="Arial"/>
                <w:sz w:val="18"/>
                <w:szCs w:val="18"/>
                <w:color w:val="auto"/>
              </w:rPr>
              <w:t>Series A convertible preferred stock dividends</w:t>
            </w:r>
          </w:p>
        </w:tc>
        <w:tc>
          <w:tcPr>
            <w:tcW w:w="26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(15.5 )</w:t>
            </w:r>
          </w:p>
        </w:tc>
        <w:tc>
          <w:tcPr>
            <w:tcW w:w="2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(14.9 )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(45.9 )</w:t>
            </w:r>
          </w:p>
        </w:tc>
        <w:tc>
          <w:tcPr>
            <w:tcW w:w="3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(44.1 )</w:t>
            </w:r>
          </w:p>
        </w:tc>
      </w:tr>
      <w:tr>
        <w:trPr>
          <w:trHeight w:val="282"/>
        </w:trPr>
        <w:tc>
          <w:tcPr>
            <w:tcW w:w="6000" w:type="dxa"/>
            <w:vAlign w:val="bottom"/>
            <w:tcBorders>
              <w:top w:val="single" w:sz="8" w:color="CCECFF"/>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26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(844.2</w:t>
            </w:r>
          </w:p>
        </w:tc>
        <w:tc>
          <w:tcPr>
            <w:tcW w:w="320" w:type="dxa"/>
            <w:vAlign w:val="bottom"/>
            <w:tcBorders>
              <w:top w:val="single" w:sz="8" w:color="CCECFF"/>
              <w:bottom w:val="single" w:sz="8" w:color="CCECFF"/>
            </w:tcBorders>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CECFF"/>
              <w:bottom w:val="single" w:sz="8" w:color="CCECFF"/>
            </w:tcBorders>
            <w:shd w:val="clear" w:color="auto" w:fill="CCECFF"/>
          </w:tcPr>
          <w:p>
            <w:pPr>
              <w:spacing w:after="0"/>
              <w:rPr>
                <w:sz w:val="24"/>
                <w:szCs w:val="24"/>
                <w:color w:val="auto"/>
              </w:rPr>
            </w:pPr>
          </w:p>
        </w:tc>
        <w:tc>
          <w:tcPr>
            <w:tcW w:w="180" w:type="dxa"/>
            <w:vAlign w:val="bottom"/>
            <w:tcBorders>
              <w:top w:val="single" w:sz="8" w:color="CCECFF"/>
              <w:bottom w:val="single" w:sz="8" w:color="CCECFF"/>
            </w:tcBorders>
            <w:shd w:val="clear" w:color="auto" w:fill="CCECFF"/>
          </w:tcPr>
          <w:p>
            <w:pPr>
              <w:spacing w:after="0"/>
              <w:rPr>
                <w:sz w:val="24"/>
                <w:szCs w:val="24"/>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(971.6</w:t>
            </w:r>
          </w:p>
        </w:tc>
        <w:tc>
          <w:tcPr>
            <w:tcW w:w="280" w:type="dxa"/>
            <w:vAlign w:val="bottom"/>
            <w:tcBorders>
              <w:top w:val="single" w:sz="8" w:color="CCECFF"/>
              <w:bottom w:val="single" w:sz="8" w:color="CCECFF"/>
            </w:tcBorders>
            <w:shd w:val="clear" w:color="auto" w:fill="CCECFF"/>
          </w:tcPr>
          <w:p>
            <w:pPr>
              <w:jc w:val="right"/>
              <w:ind w:right="14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6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000" w:type="dxa"/>
            <w:vAlign w:val="bottom"/>
            <w:shd w:val="clear" w:color="auto" w:fill="CCECFF"/>
          </w:tcPr>
          <w:p>
            <w:pPr>
              <w:ind w:left="20"/>
              <w:spacing w:after="0"/>
              <w:rPr>
                <w:sz w:val="20"/>
                <w:szCs w:val="20"/>
                <w:color w:val="auto"/>
              </w:rPr>
            </w:pPr>
            <w:r>
              <w:rPr>
                <w:rFonts w:ascii="Arial" w:cs="Arial" w:eastAsia="Arial" w:hAnsi="Arial"/>
                <w:sz w:val="18"/>
                <w:szCs w:val="18"/>
                <w:color w:val="auto"/>
              </w:rPr>
              <w:t>Earnings (loss) per share:</w:t>
            </w: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6"/>
        </w:trPr>
        <w:tc>
          <w:tcPr>
            <w:tcW w:w="6000" w:type="dxa"/>
            <w:vAlign w:val="bottom"/>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(3.98 )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0"/>
                <w:szCs w:val="20"/>
                <w:color w:val="auto"/>
              </w:rPr>
            </w:pP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(4.62 )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(1.07 )</w:t>
            </w:r>
          </w:p>
        </w:tc>
      </w:tr>
      <w:tr>
        <w:trPr>
          <w:trHeight w:val="249"/>
        </w:trPr>
        <w:tc>
          <w:tcPr>
            <w:tcW w:w="60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Diluted (a)</w:t>
            </w:r>
          </w:p>
        </w:tc>
        <w:tc>
          <w:tcPr>
            <w:tcW w:w="2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CFF"/>
          </w:tcPr>
          <w:p>
            <w:pPr>
              <w:jc w:val="right"/>
              <w:ind w:right="150"/>
              <w:spacing w:after="0"/>
              <w:rPr>
                <w:sz w:val="20"/>
                <w:szCs w:val="20"/>
                <w:color w:val="auto"/>
              </w:rPr>
            </w:pPr>
            <w:r>
              <w:rPr>
                <w:rFonts w:ascii="Arial" w:cs="Arial" w:eastAsia="Arial" w:hAnsi="Arial"/>
                <w:sz w:val="18"/>
                <w:szCs w:val="18"/>
                <w:color w:val="auto"/>
              </w:rPr>
              <w:t>(3.98 )</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CFF"/>
          </w:tcPr>
          <w:p>
            <w:pPr>
              <w:spacing w:after="0"/>
              <w:rPr>
                <w:sz w:val="21"/>
                <w:szCs w:val="21"/>
                <w:color w:val="auto"/>
              </w:rPr>
            </w:pPr>
          </w:p>
        </w:tc>
        <w:tc>
          <w:tcPr>
            <w:tcW w:w="44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CFF"/>
          </w:tcPr>
          <w:p>
            <w:pPr>
              <w:jc w:val="right"/>
              <w:ind w:right="141"/>
              <w:spacing w:after="0"/>
              <w:rPr>
                <w:sz w:val="20"/>
                <w:szCs w:val="20"/>
                <w:color w:val="auto"/>
              </w:rPr>
            </w:pPr>
            <w:r>
              <w:rPr>
                <w:rFonts w:ascii="Arial" w:cs="Arial" w:eastAsia="Arial" w:hAnsi="Arial"/>
                <w:sz w:val="18"/>
                <w:szCs w:val="18"/>
                <w:color w:val="auto"/>
              </w:rPr>
              <w:t>(4.62 )</w:t>
            </w:r>
          </w:p>
        </w:tc>
        <w:tc>
          <w:tcPr>
            <w:tcW w:w="34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(1.07 )</w:t>
            </w:r>
          </w:p>
        </w:tc>
      </w:tr>
      <w:tr>
        <w:trPr>
          <w:trHeight w:val="236"/>
        </w:trPr>
        <w:tc>
          <w:tcPr>
            <w:tcW w:w="600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0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211.9</w:t>
            </w:r>
          </w:p>
        </w:tc>
        <w:tc>
          <w:tcPr>
            <w:tcW w:w="3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208.2</w:t>
            </w:r>
          </w:p>
        </w:tc>
        <w:tc>
          <w:tcPr>
            <w:tcW w:w="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210.4</w:t>
            </w:r>
          </w:p>
        </w:tc>
        <w:tc>
          <w:tcPr>
            <w:tcW w:w="28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CFF"/>
          </w:tcPr>
          <w:p>
            <w:pPr>
              <w:spacing w:after="0"/>
              <w:rPr>
                <w:sz w:val="21"/>
                <w:szCs w:val="21"/>
                <w:color w:val="auto"/>
              </w:rPr>
            </w:pPr>
          </w:p>
        </w:tc>
      </w:tr>
      <w:tr>
        <w:trPr>
          <w:trHeight w:val="236"/>
        </w:trPr>
        <w:tc>
          <w:tcPr>
            <w:tcW w:w="6000" w:type="dxa"/>
            <w:vAlign w:val="bottom"/>
          </w:tcPr>
          <w:p>
            <w:pPr>
              <w:ind w:left="200"/>
              <w:spacing w:after="0"/>
              <w:rPr>
                <w:sz w:val="20"/>
                <w:szCs w:val="20"/>
                <w:color w:val="auto"/>
              </w:rPr>
            </w:pPr>
            <w:r>
              <w:rPr>
                <w:rFonts w:ascii="Arial" w:cs="Arial" w:eastAsia="Arial" w:hAnsi="Arial"/>
                <w:sz w:val="18"/>
                <w:szCs w:val="18"/>
                <w:color w:val="auto"/>
              </w:rPr>
              <w:t>Diluted (a)</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210.4</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20"/>
                <w:szCs w:val="20"/>
                <w:color w:val="auto"/>
              </w:rPr>
            </w:pPr>
          </w:p>
        </w:tc>
      </w:tr>
      <w:tr>
        <w:trPr>
          <w:trHeight w:val="249"/>
        </w:trPr>
        <w:tc>
          <w:tcPr>
            <w:tcW w:w="6000" w:type="dxa"/>
            <w:vAlign w:val="bottom"/>
            <w:shd w:val="clear" w:color="auto" w:fill="CCECFF"/>
          </w:tcPr>
          <w:p>
            <w:pPr>
              <w:ind w:left="20"/>
              <w:spacing w:after="0"/>
              <w:rPr>
                <w:sz w:val="20"/>
                <w:szCs w:val="20"/>
                <w:color w:val="auto"/>
              </w:rPr>
            </w:pPr>
            <w:r>
              <w:rPr>
                <w:rFonts w:ascii="Arial" w:cs="Arial" w:eastAsia="Arial" w:hAnsi="Arial"/>
                <w:sz w:val="18"/>
                <w:szCs w:val="18"/>
                <w:color w:val="auto"/>
              </w:rPr>
              <w:t>(a) Calculation of diluted income (loss) per share:</w:t>
            </w: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6"/>
        </w:trPr>
        <w:tc>
          <w:tcPr>
            <w:tcW w:w="6000" w:type="dxa"/>
            <w:vAlign w:val="bottom"/>
          </w:tcPr>
          <w:p>
            <w:pPr>
              <w:ind w:left="20"/>
              <w:spacing w:after="0"/>
              <w:rPr>
                <w:sz w:val="20"/>
                <w:szCs w:val="20"/>
                <w:color w:val="auto"/>
              </w:rPr>
            </w:pPr>
            <w:r>
              <w:rPr>
                <w:rFonts w:ascii="Arial" w:cs="Arial" w:eastAsia="Arial" w:hAnsi="Arial"/>
                <w:sz w:val="18"/>
                <w:szCs w:val="18"/>
                <w:color w:val="auto"/>
              </w:rPr>
              <w:t>Net income (loss) (basic and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(844.2 )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(971.6 )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(222.1 )</w:t>
            </w:r>
          </w:p>
        </w:tc>
      </w:tr>
      <w:tr>
        <w:trPr>
          <w:trHeight w:val="249"/>
        </w:trPr>
        <w:tc>
          <w:tcPr>
            <w:tcW w:w="60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6"/>
        </w:trPr>
        <w:tc>
          <w:tcPr>
            <w:tcW w:w="6000" w:type="dxa"/>
            <w:vAlign w:val="bottom"/>
          </w:tcPr>
          <w:p>
            <w:pPr>
              <w:ind w:left="20"/>
              <w:spacing w:after="0"/>
              <w:rPr>
                <w:sz w:val="20"/>
                <w:szCs w:val="20"/>
                <w:color w:val="auto"/>
              </w:rPr>
            </w:pPr>
            <w:r>
              <w:rPr>
                <w:rFonts w:ascii="Arial" w:cs="Arial" w:eastAsia="Arial" w:hAnsi="Arial"/>
                <w:sz w:val="18"/>
                <w:szCs w:val="18"/>
                <w:color w:val="auto"/>
              </w:rPr>
              <w:t>Weighted average shares (basic)</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210.4</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20"/>
                <w:szCs w:val="20"/>
                <w:color w:val="auto"/>
              </w:rPr>
            </w:pPr>
          </w:p>
        </w:tc>
      </w:tr>
      <w:tr>
        <w:trPr>
          <w:trHeight w:val="249"/>
        </w:trPr>
        <w:tc>
          <w:tcPr>
            <w:tcW w:w="6000" w:type="dxa"/>
            <w:vAlign w:val="bottom"/>
            <w:shd w:val="clear" w:color="auto" w:fill="CCECFF"/>
          </w:tcPr>
          <w:p>
            <w:pPr>
              <w:ind w:left="20"/>
              <w:spacing w:after="0"/>
              <w:rPr>
                <w:sz w:val="20"/>
                <w:szCs w:val="20"/>
                <w:color w:val="auto"/>
              </w:rPr>
            </w:pPr>
            <w:r>
              <w:rPr>
                <w:rFonts w:ascii="Arial" w:cs="Arial" w:eastAsia="Arial" w:hAnsi="Arial"/>
                <w:sz w:val="18"/>
                <w:szCs w:val="18"/>
                <w:color w:val="auto"/>
              </w:rPr>
              <w:t>Dilutive effect of equity-based awards</w:t>
            </w:r>
          </w:p>
        </w:tc>
        <w:tc>
          <w:tcPr>
            <w:tcW w:w="260" w:type="dxa"/>
            <w:vAlign w:val="bottom"/>
            <w:shd w:val="clear" w:color="auto" w:fill="CCECFF"/>
          </w:tcPr>
          <w:p>
            <w:pPr>
              <w:spacing w:after="0"/>
              <w:rPr>
                <w:sz w:val="21"/>
                <w:szCs w:val="21"/>
                <w:color w:val="auto"/>
              </w:rPr>
            </w:pPr>
          </w:p>
        </w:tc>
        <w:tc>
          <w:tcPr>
            <w:tcW w:w="1160" w:type="dxa"/>
            <w:vAlign w:val="bottom"/>
            <w:gridSpan w:val="2"/>
            <w:shd w:val="clear" w:color="auto" w:fill="CCECFF"/>
          </w:tcPr>
          <w:p>
            <w:pPr>
              <w:jc w:val="right"/>
              <w:ind w:right="2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22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CFF"/>
          </w:tcPr>
          <w:p>
            <w:pPr>
              <w:spacing w:after="0"/>
              <w:rPr>
                <w:sz w:val="21"/>
                <w:szCs w:val="21"/>
                <w:color w:val="auto"/>
              </w:rPr>
            </w:pPr>
          </w:p>
        </w:tc>
        <w:tc>
          <w:tcPr>
            <w:tcW w:w="840" w:type="dxa"/>
            <w:vAlign w:val="bottom"/>
            <w:gridSpan w:val="2"/>
            <w:shd w:val="clear" w:color="auto" w:fill="CCECFF"/>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6000" w:type="dxa"/>
            <w:vAlign w:val="bottom"/>
            <w:tcBorders>
              <w:top w:val="single" w:sz="8" w:color="CCECFF"/>
            </w:tcBorders>
          </w:tcPr>
          <w:p>
            <w:pPr>
              <w:ind w:left="200"/>
              <w:spacing w:after="0"/>
              <w:rPr>
                <w:sz w:val="20"/>
                <w:szCs w:val="20"/>
                <w:color w:val="auto"/>
              </w:rPr>
            </w:pPr>
            <w:r>
              <w:rPr>
                <w:rFonts w:ascii="Arial" w:cs="Arial" w:eastAsia="Arial" w:hAnsi="Arial"/>
                <w:sz w:val="18"/>
                <w:szCs w:val="18"/>
                <w:color w:val="auto"/>
              </w:rPr>
              <w:t>Denominator (diluted)</w:t>
            </w: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320" w:type="dxa"/>
            <w:vAlign w:val="bottom"/>
            <w:tcBorders>
              <w:top w:val="single" w:sz="8" w:color="CCEC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w:t>
            </w:r>
          </w:p>
        </w:tc>
        <w:tc>
          <w:tcPr>
            <w:tcW w:w="120" w:type="dxa"/>
            <w:vAlign w:val="bottom"/>
            <w:tcBorders>
              <w:top w:val="single" w:sz="8" w:color="CCECFF"/>
            </w:tcBorders>
          </w:tcPr>
          <w:p>
            <w:pPr>
              <w:spacing w:after="0"/>
              <w:rPr>
                <w:sz w:val="20"/>
                <w:szCs w:val="20"/>
                <w:color w:val="auto"/>
              </w:rPr>
            </w:pPr>
          </w:p>
        </w:tc>
        <w:tc>
          <w:tcPr>
            <w:tcW w:w="180" w:type="dxa"/>
            <w:vAlign w:val="bottom"/>
            <w:tcBorders>
              <w:top w:val="single" w:sz="8" w:color="CCEC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280" w:type="dxa"/>
            <w:vAlign w:val="bottom"/>
            <w:tcBorders>
              <w:top w:val="single" w:sz="8" w:color="CCEC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Borders>
              <w:top w:val="single" w:sz="8" w:color="CCECFF"/>
            </w:tcBorders>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-3646805</wp:posOffset>
            </wp:positionV>
            <wp:extent cx="7683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-3646805</wp:posOffset>
            </wp:positionV>
            <wp:extent cx="685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-3646805</wp:posOffset>
            </wp:positionV>
            <wp:extent cx="685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-3646805</wp:posOffset>
            </wp:positionV>
            <wp:extent cx="685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-2225675</wp:posOffset>
            </wp:positionV>
            <wp:extent cx="2628900" cy="342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28900" cy="34226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-187960</wp:posOffset>
            </wp:positionV>
            <wp:extent cx="76835" cy="342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-187960</wp:posOffset>
            </wp:positionV>
            <wp:extent cx="68580" cy="342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-187960</wp:posOffset>
            </wp:positionV>
            <wp:extent cx="68580" cy="3422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4965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496570"/>
                    </a:xfrm>
                    <a:prstGeom prst="rect">
                      <a:avLst/>
                    </a:prstGeom>
                    <a:noFill/>
                  </pic:spPr>
                </pic:pic>
              </a:graphicData>
            </a:graphic>
          </wp:anchor>
        </w:drawing>
      </w: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notes to unaudited condensed consolidated financial statements included in our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0" w:name="page11"/>
    <w:bookmarkEnd w:id="10"/>
    <w:p>
      <w:pPr>
        <w:jc w:val="center"/>
        <w:ind w:right="100"/>
        <w:spacing w:after="0"/>
        <w:rPr>
          <w:sz w:val="20"/>
          <w:szCs w:val="20"/>
          <w:color w:val="auto"/>
        </w:rPr>
      </w:pPr>
      <w:r>
        <w:rPr>
          <w:rFonts w:ascii="Arial" w:cs="Arial" w:eastAsia="Arial" w:hAnsi="Arial"/>
          <w:sz w:val="18"/>
          <w:szCs w:val="18"/>
          <w:b w:val="1"/>
          <w:bCs w:val="1"/>
          <w:color w:val="auto"/>
        </w:rPr>
        <w:t>CommScope Holding Company, Inc.</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millions, except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2"/>
          </w:tcPr>
          <w:p>
            <w:pPr>
              <w:jc w:val="right"/>
              <w:ind w:right="85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4"/>
                <w:szCs w:val="14"/>
                <w:color w:val="auto"/>
              </w:rPr>
            </w:pPr>
          </w:p>
        </w:tc>
        <w:tc>
          <w:tcPr>
            <w:tcW w:w="1780" w:type="dxa"/>
            <w:vAlign w:val="bottom"/>
            <w:gridSpan w:val="2"/>
            <w:vMerge w:val="restart"/>
          </w:tcPr>
          <w:p>
            <w:pPr>
              <w:jc w:val="right"/>
              <w:ind w:right="401"/>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5"/>
        </w:trPr>
        <w:tc>
          <w:tcPr>
            <w:tcW w:w="7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040" w:type="dxa"/>
            <w:vAlign w:val="bottom"/>
            <w:shd w:val="clear" w:color="auto" w:fill="CCECFF"/>
          </w:tcPr>
          <w:p>
            <w:pPr>
              <w:ind w:left="318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CFF"/>
          </w:tcPr>
          <w:p>
            <w:pPr>
              <w:spacing w:after="0"/>
              <w:rPr>
                <w:sz w:val="20"/>
                <w:szCs w:val="20"/>
                <w:color w:val="auto"/>
              </w:rPr>
            </w:pPr>
          </w:p>
        </w:tc>
        <w:tc>
          <w:tcPr>
            <w:tcW w:w="1680" w:type="dxa"/>
            <w:vAlign w:val="bottom"/>
            <w:tcBorders>
              <w:top w:val="single" w:sz="8" w:color="auto"/>
            </w:tcBorders>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220" w:type="dxa"/>
            <w:vAlign w:val="bottom"/>
            <w:tcBorders>
              <w:top w:val="single" w:sz="8" w:color="auto"/>
            </w:tcBorders>
            <w:shd w:val="clear" w:color="auto" w:fill="CCECFF"/>
          </w:tcPr>
          <w:p>
            <w:pPr>
              <w:spacing w:after="0"/>
              <w:rPr>
                <w:sz w:val="20"/>
                <w:szCs w:val="20"/>
                <w:color w:val="auto"/>
              </w:rPr>
            </w:pPr>
          </w:p>
        </w:tc>
        <w:tc>
          <w:tcPr>
            <w:tcW w:w="1680" w:type="dxa"/>
            <w:vAlign w:val="bottom"/>
            <w:tcBorders>
              <w:top w:val="single" w:sz="8" w:color="auto"/>
            </w:tcBorders>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0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518.9</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040" w:type="dxa"/>
            <w:vAlign w:val="bottom"/>
            <w:shd w:val="clear" w:color="auto" w:fill="CCECFF"/>
          </w:tcPr>
          <w:p>
            <w:pPr>
              <w:ind w:left="20"/>
              <w:spacing w:after="0"/>
              <w:rPr>
                <w:sz w:val="20"/>
                <w:szCs w:val="20"/>
                <w:color w:val="auto"/>
              </w:rPr>
            </w:pPr>
            <w:r>
              <w:rPr>
                <w:rFonts w:ascii="Arial" w:cs="Arial" w:eastAsia="Arial" w:hAnsi="Arial"/>
                <w:sz w:val="18"/>
                <w:szCs w:val="18"/>
                <w:color w:val="auto"/>
              </w:rPr>
              <w:t>Accounts receivable, net of allowance for doubtful accounts</w:t>
            </w:r>
          </w:p>
        </w:tc>
        <w:tc>
          <w:tcPr>
            <w:tcW w:w="220" w:type="dxa"/>
            <w:vAlign w:val="bottom"/>
            <w:shd w:val="clear" w:color="auto" w:fill="CCECFF"/>
          </w:tcPr>
          <w:p>
            <w:pPr>
              <w:spacing w:after="0"/>
              <w:rPr>
                <w:sz w:val="19"/>
                <w:szCs w:val="19"/>
                <w:color w:val="auto"/>
              </w:rPr>
            </w:pPr>
          </w:p>
        </w:tc>
        <w:tc>
          <w:tcPr>
            <w:tcW w:w="168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6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040" w:type="dxa"/>
            <w:vAlign w:val="bottom"/>
            <w:shd w:val="clear" w:color="auto" w:fill="CCECFF"/>
          </w:tcPr>
          <w:p>
            <w:pPr>
              <w:ind w:left="160"/>
              <w:spacing w:after="0"/>
              <w:rPr>
                <w:sz w:val="20"/>
                <w:szCs w:val="20"/>
                <w:color w:val="auto"/>
              </w:rPr>
            </w:pPr>
            <w:r>
              <w:rPr>
                <w:rFonts w:ascii="Arial" w:cs="Arial" w:eastAsia="Arial" w:hAnsi="Arial"/>
                <w:sz w:val="18"/>
                <w:szCs w:val="18"/>
                <w:color w:val="auto"/>
              </w:rPr>
              <w:t>of $66.3 and $82.8, respectively</w:t>
            </w: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1,144.5</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1,523.6</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04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1,364.6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1,588.1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CECFF"/>
          </w:tcPr>
          <w:p>
            <w:pPr>
              <w:spacing w:after="0"/>
              <w:rPr>
                <w:sz w:val="21"/>
                <w:szCs w:val="21"/>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186.7</w:t>
            </w:r>
          </w:p>
        </w:tc>
        <w:tc>
          <w:tcPr>
            <w:tcW w:w="30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spacing w:after="0"/>
              <w:rPr>
                <w:sz w:val="21"/>
                <w:szCs w:val="21"/>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04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3,214.7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3,726.2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040" w:type="dxa"/>
            <w:vAlign w:val="bottom"/>
            <w:shd w:val="clear" w:color="auto" w:fill="CCECFF"/>
          </w:tcPr>
          <w:p>
            <w:pPr>
              <w:ind w:left="20"/>
              <w:spacing w:after="0"/>
              <w:rPr>
                <w:sz w:val="20"/>
                <w:szCs w:val="20"/>
                <w:color w:val="auto"/>
              </w:rPr>
            </w:pPr>
            <w:r>
              <w:rPr>
                <w:rFonts w:ascii="Arial" w:cs="Arial" w:eastAsia="Arial" w:hAnsi="Arial"/>
                <w:sz w:val="18"/>
                <w:szCs w:val="18"/>
                <w:color w:val="auto"/>
              </w:rPr>
              <w:t>Property, plant and equipment, net of accumulated depreciation</w:t>
            </w:r>
          </w:p>
        </w:tc>
        <w:tc>
          <w:tcPr>
            <w:tcW w:w="220" w:type="dxa"/>
            <w:vAlign w:val="bottom"/>
            <w:shd w:val="clear" w:color="auto" w:fill="CCECFF"/>
          </w:tcPr>
          <w:p>
            <w:pPr>
              <w:spacing w:after="0"/>
              <w:rPr>
                <w:sz w:val="19"/>
                <w:szCs w:val="19"/>
                <w:color w:val="auto"/>
              </w:rPr>
            </w:pPr>
          </w:p>
        </w:tc>
        <w:tc>
          <w:tcPr>
            <w:tcW w:w="168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6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040" w:type="dxa"/>
            <w:vAlign w:val="bottom"/>
            <w:shd w:val="clear" w:color="auto" w:fill="CCECFF"/>
          </w:tcPr>
          <w:p>
            <w:pPr>
              <w:ind w:left="160"/>
              <w:spacing w:after="0"/>
              <w:rPr>
                <w:sz w:val="20"/>
                <w:szCs w:val="20"/>
                <w:color w:val="auto"/>
              </w:rPr>
            </w:pPr>
            <w:r>
              <w:rPr>
                <w:rFonts w:ascii="Arial" w:cs="Arial" w:eastAsia="Arial" w:hAnsi="Arial"/>
                <w:sz w:val="18"/>
                <w:szCs w:val="18"/>
                <w:color w:val="auto"/>
              </w:rPr>
              <w:t>of $918.6 and $873.5, respectively</w:t>
            </w: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539.1</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609.6</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0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3,635.7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4,072.4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040" w:type="dxa"/>
            <w:vAlign w:val="bottom"/>
            <w:shd w:val="clear" w:color="auto" w:fill="CCECFF"/>
          </w:tcPr>
          <w:p>
            <w:pPr>
              <w:ind w:left="20"/>
              <w:spacing w:after="0"/>
              <w:rPr>
                <w:sz w:val="20"/>
                <w:szCs w:val="20"/>
                <w:color w:val="auto"/>
              </w:rPr>
            </w:pPr>
            <w:r>
              <w:rPr>
                <w:rFonts w:ascii="Arial" w:cs="Arial" w:eastAsia="Arial" w:hAnsi="Arial"/>
                <w:sz w:val="18"/>
                <w:szCs w:val="18"/>
                <w:color w:val="auto"/>
              </w:rPr>
              <w:t>Other intangible assets, net</w:t>
            </w: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1,673.2</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2,473.5</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0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1,002.9</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0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10,065.6</w:t>
            </w:r>
          </w:p>
        </w:tc>
        <w:tc>
          <w:tcPr>
            <w:tcW w:w="30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11,685.4</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040" w:type="dxa"/>
            <w:vAlign w:val="bottom"/>
          </w:tcPr>
          <w:p>
            <w:pPr>
              <w:ind w:left="2060"/>
              <w:spacing w:after="0"/>
              <w:rPr>
                <w:sz w:val="20"/>
                <w:szCs w:val="20"/>
                <w:color w:val="auto"/>
              </w:rPr>
            </w:pPr>
            <w:r>
              <w:rPr>
                <w:rFonts w:ascii="Arial" w:cs="Arial" w:eastAsia="Arial" w:hAnsi="Arial"/>
                <w:sz w:val="18"/>
                <w:szCs w:val="18"/>
                <w:b w:val="1"/>
                <w:bCs w:val="1"/>
                <w:color w:val="auto"/>
              </w:rPr>
              <w:t>Liabilities and Stockholders' Deficit</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040" w:type="dxa"/>
            <w:vAlign w:val="bottom"/>
            <w:shd w:val="clear" w:color="auto" w:fill="CCECFF"/>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795.3</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1,025.5</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040" w:type="dxa"/>
            <w:vAlign w:val="bottom"/>
          </w:tcPr>
          <w:p>
            <w:pPr>
              <w:ind w:left="20"/>
              <w:spacing w:after="0"/>
              <w:rPr>
                <w:sz w:val="20"/>
                <w:szCs w:val="20"/>
                <w:color w:val="auto"/>
              </w:rPr>
            </w:pPr>
            <w:r>
              <w:rPr>
                <w:rFonts w:ascii="Arial" w:cs="Arial" w:eastAsia="Arial" w:hAnsi="Arial"/>
                <w:sz w:val="18"/>
                <w:szCs w:val="18"/>
                <w:color w:val="auto"/>
              </w:rPr>
              <w:t>Accrued and other liabilities</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719.2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auto"/>
            </w:tcBorders>
            <w:shd w:val="clear" w:color="auto" w:fill="CCECFF"/>
          </w:tcPr>
          <w:p>
            <w:pPr>
              <w:spacing w:after="0"/>
              <w:rPr>
                <w:sz w:val="21"/>
                <w:szCs w:val="21"/>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32.0</w:t>
            </w:r>
          </w:p>
        </w:tc>
        <w:tc>
          <w:tcPr>
            <w:tcW w:w="30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spacing w:after="0"/>
              <w:rPr>
                <w:sz w:val="21"/>
                <w:szCs w:val="21"/>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04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1,546.5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2,107.5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040" w:type="dxa"/>
            <w:vAlign w:val="bottom"/>
            <w:shd w:val="clear" w:color="auto" w:fill="CCEC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9,353.3</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9,469.6</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0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105.2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shd w:val="clear" w:color="auto" w:fill="CCECFF"/>
          </w:tcPr>
          <w:p>
            <w:pPr>
              <w:spacing w:after="0"/>
              <w:rPr>
                <w:sz w:val="21"/>
                <w:szCs w:val="21"/>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404.4</w:t>
            </w:r>
          </w:p>
        </w:tc>
        <w:tc>
          <w:tcPr>
            <w:tcW w:w="30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spacing w:after="0"/>
              <w:rPr>
                <w:sz w:val="21"/>
                <w:szCs w:val="21"/>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380.6</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0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11,409.4</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040" w:type="dxa"/>
            <w:vAlign w:val="bottom"/>
            <w:shd w:val="clear" w:color="auto" w:fill="CCECFF"/>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040" w:type="dxa"/>
            <w:vAlign w:val="bottom"/>
          </w:tcPr>
          <w:p>
            <w:pPr>
              <w:ind w:left="20"/>
              <w:spacing w:after="0"/>
              <w:rPr>
                <w:sz w:val="20"/>
                <w:szCs w:val="20"/>
                <w:color w:val="auto"/>
              </w:rPr>
            </w:pPr>
            <w:r>
              <w:rPr>
                <w:rFonts w:ascii="Arial" w:cs="Arial" w:eastAsia="Arial" w:hAnsi="Arial"/>
                <w:sz w:val="18"/>
                <w:szCs w:val="18"/>
                <w:color w:val="auto"/>
              </w:rPr>
              <w:t>Series A convertible preferred stock, $0.01 par value</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1,146.3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040" w:type="dxa"/>
            <w:vAlign w:val="bottom"/>
            <w:shd w:val="clear" w:color="auto" w:fill="CCECFF"/>
          </w:tcPr>
          <w:p>
            <w:pPr>
              <w:ind w:left="20"/>
              <w:spacing w:after="0"/>
              <w:rPr>
                <w:sz w:val="20"/>
                <w:szCs w:val="20"/>
                <w:color w:val="auto"/>
              </w:rPr>
            </w:pPr>
            <w:r>
              <w:rPr>
                <w:rFonts w:ascii="Arial" w:cs="Arial" w:eastAsia="Arial" w:hAnsi="Arial"/>
                <w:sz w:val="18"/>
                <w:szCs w:val="18"/>
                <w:color w:val="auto"/>
              </w:rPr>
              <w:t>Stockholders' deficit:</w:t>
            </w: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120"/>
              <w:spacing w:after="0"/>
              <w:rPr>
                <w:sz w:val="20"/>
                <w:szCs w:val="20"/>
                <w:color w:val="auto"/>
              </w:rPr>
            </w:pPr>
            <w:r>
              <w:rPr>
                <w:rFonts w:ascii="Arial" w:cs="Arial" w:eastAsia="Arial" w:hAnsi="Arial"/>
                <w:sz w:val="18"/>
                <w:szCs w:val="18"/>
                <w:color w:val="auto"/>
              </w:rPr>
              <w:t>Preferred stock, $0.01 par value: Authorized shares: 200,000,000;</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040" w:type="dxa"/>
            <w:vAlign w:val="bottom"/>
          </w:tcPr>
          <w:p>
            <w:pPr>
              <w:ind w:left="200"/>
              <w:spacing w:after="0"/>
              <w:rPr>
                <w:sz w:val="20"/>
                <w:szCs w:val="20"/>
                <w:color w:val="auto"/>
              </w:rPr>
            </w:pPr>
            <w:r>
              <w:rPr>
                <w:rFonts w:ascii="Arial" w:cs="Arial" w:eastAsia="Arial" w:hAnsi="Arial"/>
                <w:sz w:val="18"/>
                <w:szCs w:val="18"/>
                <w:color w:val="auto"/>
              </w:rPr>
              <w:t>Issued and outstanding shares: 1,146,324 and 1,100,310, respectively,</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200"/>
              <w:spacing w:after="0"/>
              <w:rPr>
                <w:sz w:val="20"/>
                <w:szCs w:val="20"/>
                <w:color w:val="auto"/>
              </w:rPr>
            </w:pPr>
            <w:r>
              <w:rPr>
                <w:rFonts w:ascii="Arial" w:cs="Arial" w:eastAsia="Arial" w:hAnsi="Arial"/>
                <w:sz w:val="18"/>
                <w:szCs w:val="18"/>
                <w:color w:val="auto"/>
              </w:rPr>
              <w:t>Series A convertible preferred stock</w:t>
            </w:r>
          </w:p>
        </w:tc>
        <w:tc>
          <w:tcPr>
            <w:tcW w:w="220" w:type="dxa"/>
            <w:vAlign w:val="bottom"/>
          </w:tcPr>
          <w:p>
            <w:pPr>
              <w:spacing w:after="0"/>
              <w:rPr>
                <w:sz w:val="20"/>
                <w:szCs w:val="20"/>
                <w:color w:val="auto"/>
              </w:rPr>
            </w:pPr>
          </w:p>
        </w:tc>
        <w:tc>
          <w:tcPr>
            <w:tcW w:w="19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7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040" w:type="dxa"/>
            <w:vAlign w:val="bottom"/>
            <w:shd w:val="clear" w:color="auto" w:fill="CCECFF"/>
          </w:tcPr>
          <w:p>
            <w:pPr>
              <w:ind w:left="120"/>
              <w:spacing w:after="0"/>
              <w:rPr>
                <w:sz w:val="20"/>
                <w:szCs w:val="20"/>
                <w:color w:val="auto"/>
              </w:rPr>
            </w:pPr>
            <w:r>
              <w:rPr>
                <w:rFonts w:ascii="Arial" w:cs="Arial" w:eastAsia="Arial" w:hAnsi="Arial"/>
                <w:sz w:val="18"/>
                <w:szCs w:val="18"/>
                <w:color w:val="auto"/>
              </w:rPr>
              <w:t>Common stock, $0.01 par value: Authorized shares: 1,300,000,000;</w:t>
            </w:r>
          </w:p>
        </w:tc>
        <w:tc>
          <w:tcPr>
            <w:tcW w:w="220" w:type="dxa"/>
            <w:vAlign w:val="bottom"/>
            <w:shd w:val="clear" w:color="auto" w:fill="CCECFF"/>
          </w:tcPr>
          <w:p>
            <w:pPr>
              <w:spacing w:after="0"/>
              <w:rPr>
                <w:sz w:val="19"/>
                <w:szCs w:val="19"/>
                <w:color w:val="auto"/>
              </w:rPr>
            </w:pPr>
          </w:p>
        </w:tc>
        <w:tc>
          <w:tcPr>
            <w:tcW w:w="168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6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040" w:type="dxa"/>
            <w:vAlign w:val="bottom"/>
            <w:shd w:val="clear" w:color="auto" w:fill="CCECFF"/>
          </w:tcPr>
          <w:p>
            <w:pPr>
              <w:ind w:left="240"/>
              <w:spacing w:after="0"/>
              <w:rPr>
                <w:sz w:val="20"/>
                <w:szCs w:val="20"/>
                <w:color w:val="auto"/>
              </w:rPr>
            </w:pPr>
            <w:r>
              <w:rPr>
                <w:rFonts w:ascii="Arial" w:cs="Arial" w:eastAsia="Arial" w:hAnsi="Arial"/>
                <w:sz w:val="18"/>
                <w:szCs w:val="18"/>
                <w:color w:val="auto"/>
              </w:rPr>
              <w:t>Issued and outstanding shares: 211,918,754 and 208,371,426, respectively</w:t>
            </w: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04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2,554.4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2,542.9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040" w:type="dxa"/>
            <w:vAlign w:val="bottom"/>
            <w:shd w:val="clear" w:color="auto" w:fill="CCECFF"/>
          </w:tcPr>
          <w:p>
            <w:pPr>
              <w:ind w:left="12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CFF"/>
          </w:tcPr>
          <w:p>
            <w:pPr>
              <w:spacing w:after="0"/>
              <w:rPr>
                <w:sz w:val="21"/>
                <w:szCs w:val="21"/>
                <w:color w:val="auto"/>
              </w:rPr>
            </w:pPr>
          </w:p>
        </w:tc>
        <w:tc>
          <w:tcPr>
            <w:tcW w:w="1980" w:type="dxa"/>
            <w:vAlign w:val="bottom"/>
            <w:gridSpan w:val="2"/>
            <w:shd w:val="clear" w:color="auto" w:fill="CCECFF"/>
          </w:tcPr>
          <w:p>
            <w:pPr>
              <w:jc w:val="right"/>
              <w:ind w:right="130"/>
              <w:spacing w:after="0"/>
              <w:rPr>
                <w:sz w:val="20"/>
                <w:szCs w:val="20"/>
                <w:color w:val="auto"/>
              </w:rPr>
            </w:pPr>
            <w:r>
              <w:rPr>
                <w:rFonts w:ascii="Arial" w:cs="Arial" w:eastAsia="Arial" w:hAnsi="Arial"/>
                <w:sz w:val="18"/>
                <w:szCs w:val="18"/>
                <w:color w:val="auto"/>
              </w:rPr>
              <w:t>(4,427.9 )</w:t>
            </w:r>
          </w:p>
        </w:tc>
        <w:tc>
          <w:tcPr>
            <w:tcW w:w="220" w:type="dxa"/>
            <w:vAlign w:val="bottom"/>
            <w:shd w:val="clear" w:color="auto" w:fill="CCECFF"/>
          </w:tcPr>
          <w:p>
            <w:pPr>
              <w:spacing w:after="0"/>
              <w:rPr>
                <w:sz w:val="21"/>
                <w:szCs w:val="21"/>
                <w:color w:val="auto"/>
              </w:rPr>
            </w:pPr>
          </w:p>
        </w:tc>
        <w:tc>
          <w:tcPr>
            <w:tcW w:w="17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(3,502.2 )</w:t>
            </w:r>
          </w:p>
        </w:tc>
        <w:tc>
          <w:tcPr>
            <w:tcW w:w="0" w:type="dxa"/>
            <w:vAlign w:val="bottom"/>
          </w:tcPr>
          <w:p>
            <w:pPr>
              <w:spacing w:after="0"/>
              <w:rPr>
                <w:sz w:val="1"/>
                <w:szCs w:val="1"/>
                <w:color w:val="auto"/>
              </w:rPr>
            </w:pPr>
          </w:p>
        </w:tc>
      </w:tr>
      <w:tr>
        <w:trPr>
          <w:trHeight w:val="236"/>
        </w:trPr>
        <w:tc>
          <w:tcPr>
            <w:tcW w:w="704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0"/>
                <w:szCs w:val="20"/>
                <w:color w:val="auto"/>
              </w:rPr>
            </w:pPr>
          </w:p>
        </w:tc>
        <w:tc>
          <w:tcPr>
            <w:tcW w:w="1980" w:type="dxa"/>
            <w:vAlign w:val="bottom"/>
            <w:gridSpan w:val="2"/>
          </w:tcPr>
          <w:p>
            <w:pPr>
              <w:jc w:val="right"/>
              <w:ind w:right="130"/>
              <w:spacing w:after="0"/>
              <w:rPr>
                <w:sz w:val="20"/>
                <w:szCs w:val="20"/>
                <w:color w:val="auto"/>
              </w:rPr>
            </w:pPr>
            <w:r>
              <w:rPr>
                <w:rFonts w:ascii="Arial" w:cs="Arial" w:eastAsia="Arial" w:hAnsi="Arial"/>
                <w:sz w:val="18"/>
                <w:szCs w:val="18"/>
                <w:color w:val="auto"/>
              </w:rPr>
              <w:t>(317.4 )</w:t>
            </w:r>
          </w:p>
        </w:tc>
        <w:tc>
          <w:tcPr>
            <w:tcW w:w="22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(296.3 )</w:t>
            </w:r>
          </w:p>
        </w:tc>
        <w:tc>
          <w:tcPr>
            <w:tcW w:w="0" w:type="dxa"/>
            <w:vAlign w:val="bottom"/>
          </w:tcPr>
          <w:p>
            <w:pPr>
              <w:spacing w:after="0"/>
              <w:rPr>
                <w:sz w:val="1"/>
                <w:szCs w:val="1"/>
                <w:color w:val="auto"/>
              </w:rPr>
            </w:pPr>
          </w:p>
        </w:tc>
      </w:tr>
      <w:tr>
        <w:trPr>
          <w:trHeight w:val="221"/>
        </w:trPr>
        <w:tc>
          <w:tcPr>
            <w:tcW w:w="7040" w:type="dxa"/>
            <w:vAlign w:val="bottom"/>
            <w:shd w:val="clear" w:color="auto" w:fill="CCECFF"/>
          </w:tcPr>
          <w:p>
            <w:pPr>
              <w:ind w:left="120"/>
              <w:spacing w:after="0"/>
              <w:rPr>
                <w:sz w:val="20"/>
                <w:szCs w:val="20"/>
                <w:color w:val="auto"/>
              </w:rPr>
            </w:pPr>
            <w:r>
              <w:rPr>
                <w:rFonts w:ascii="Arial" w:cs="Arial" w:eastAsia="Arial" w:hAnsi="Arial"/>
                <w:sz w:val="18"/>
                <w:szCs w:val="18"/>
                <w:color w:val="auto"/>
              </w:rPr>
              <w:t>Treasury stock, at cost: 14,345,829 shares and</w:t>
            </w:r>
          </w:p>
        </w:tc>
        <w:tc>
          <w:tcPr>
            <w:tcW w:w="220" w:type="dxa"/>
            <w:vAlign w:val="bottom"/>
            <w:shd w:val="clear" w:color="auto" w:fill="CCECFF"/>
          </w:tcPr>
          <w:p>
            <w:pPr>
              <w:spacing w:after="0"/>
              <w:rPr>
                <w:sz w:val="19"/>
                <w:szCs w:val="19"/>
                <w:color w:val="auto"/>
              </w:rPr>
            </w:pPr>
          </w:p>
        </w:tc>
        <w:tc>
          <w:tcPr>
            <w:tcW w:w="168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6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040" w:type="dxa"/>
            <w:vAlign w:val="bottom"/>
            <w:shd w:val="clear" w:color="auto" w:fill="CCECFF"/>
          </w:tcPr>
          <w:p>
            <w:pPr>
              <w:ind w:left="240"/>
              <w:spacing w:after="0"/>
              <w:rPr>
                <w:sz w:val="20"/>
                <w:szCs w:val="20"/>
                <w:color w:val="auto"/>
              </w:rPr>
            </w:pPr>
            <w:r>
              <w:rPr>
                <w:rFonts w:ascii="Arial" w:cs="Arial" w:eastAsia="Arial" w:hAnsi="Arial"/>
                <w:sz w:val="18"/>
                <w:szCs w:val="18"/>
                <w:color w:val="auto"/>
              </w:rPr>
              <w:t>12,726,695 shares, respectively</w:t>
            </w:r>
          </w:p>
        </w:tc>
        <w:tc>
          <w:tcPr>
            <w:tcW w:w="220" w:type="dxa"/>
            <w:vAlign w:val="bottom"/>
            <w:shd w:val="clear" w:color="auto" w:fill="CCECFF"/>
          </w:tcPr>
          <w:p>
            <w:pPr>
              <w:spacing w:after="0"/>
              <w:rPr>
                <w:sz w:val="21"/>
                <w:szCs w:val="21"/>
                <w:color w:val="auto"/>
              </w:rPr>
            </w:pPr>
          </w:p>
        </w:tc>
        <w:tc>
          <w:tcPr>
            <w:tcW w:w="1980" w:type="dxa"/>
            <w:vAlign w:val="bottom"/>
            <w:gridSpan w:val="2"/>
            <w:shd w:val="clear" w:color="auto" w:fill="CCECFF"/>
          </w:tcPr>
          <w:p>
            <w:pPr>
              <w:jc w:val="right"/>
              <w:ind w:right="130"/>
              <w:spacing w:after="0"/>
              <w:rPr>
                <w:sz w:val="20"/>
                <w:szCs w:val="20"/>
                <w:color w:val="auto"/>
              </w:rPr>
            </w:pPr>
            <w:r>
              <w:rPr>
                <w:rFonts w:ascii="Arial" w:cs="Arial" w:eastAsia="Arial" w:hAnsi="Arial"/>
                <w:sz w:val="18"/>
                <w:szCs w:val="18"/>
                <w:color w:val="auto"/>
              </w:rPr>
              <w:t>(301.5 )</w:t>
            </w:r>
          </w:p>
        </w:tc>
        <w:tc>
          <w:tcPr>
            <w:tcW w:w="220" w:type="dxa"/>
            <w:vAlign w:val="bottom"/>
            <w:shd w:val="clear" w:color="auto" w:fill="CCECFF"/>
          </w:tcPr>
          <w:p>
            <w:pPr>
              <w:spacing w:after="0"/>
              <w:rPr>
                <w:sz w:val="21"/>
                <w:szCs w:val="21"/>
                <w:color w:val="auto"/>
              </w:rPr>
            </w:pPr>
          </w:p>
        </w:tc>
        <w:tc>
          <w:tcPr>
            <w:tcW w:w="17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(292.6 )</w:t>
            </w:r>
          </w:p>
        </w:tc>
        <w:tc>
          <w:tcPr>
            <w:tcW w:w="0" w:type="dxa"/>
            <w:vAlign w:val="bottom"/>
          </w:tcPr>
          <w:p>
            <w:pPr>
              <w:spacing w:after="0"/>
              <w:rPr>
                <w:sz w:val="1"/>
                <w:szCs w:val="1"/>
                <w:color w:val="auto"/>
              </w:rPr>
            </w:pPr>
          </w:p>
        </w:tc>
      </w:tr>
      <w:tr>
        <w:trPr>
          <w:trHeight w:val="230"/>
        </w:trPr>
        <w:tc>
          <w:tcPr>
            <w:tcW w:w="7040" w:type="dxa"/>
            <w:vAlign w:val="bottom"/>
          </w:tcPr>
          <w:p>
            <w:pPr>
              <w:ind w:left="200"/>
              <w:spacing w:after="0"/>
              <w:rPr>
                <w:sz w:val="20"/>
                <w:szCs w:val="20"/>
                <w:color w:val="auto"/>
              </w:rPr>
            </w:pPr>
            <w:r>
              <w:rPr>
                <w:rFonts w:ascii="Arial" w:cs="Arial" w:eastAsia="Arial" w:hAnsi="Arial"/>
                <w:sz w:val="18"/>
                <w:szCs w:val="18"/>
                <w:color w:val="auto"/>
              </w:rPr>
              <w:t>Total stockholders' deficit</w:t>
            </w:r>
          </w:p>
        </w:tc>
        <w:tc>
          <w:tcPr>
            <w:tcW w:w="22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(2,490.1</w:t>
            </w:r>
          </w:p>
        </w:tc>
        <w:tc>
          <w:tcPr>
            <w:tcW w:w="3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6"/>
        </w:trPr>
        <w:tc>
          <w:tcPr>
            <w:tcW w:w="70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Total liabilities and stockholders' deficit</w:t>
            </w: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10,065.6</w:t>
            </w:r>
          </w:p>
        </w:tc>
        <w:tc>
          <w:tcPr>
            <w:tcW w:w="30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11,685.4</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5681980</wp:posOffset>
            </wp:positionH>
            <wp:positionV relativeFrom="paragraph">
              <wp:posOffset>-4820285</wp:posOffset>
            </wp:positionV>
            <wp:extent cx="6858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-4820285</wp:posOffset>
            </wp:positionV>
            <wp:extent cx="6858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-3741420</wp:posOffset>
            </wp:positionV>
            <wp:extent cx="145542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55420" cy="17970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-3098800</wp:posOffset>
            </wp:positionV>
            <wp:extent cx="6858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-3098800</wp:posOffset>
            </wp:positionV>
            <wp:extent cx="6858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-2473960</wp:posOffset>
            </wp:positionV>
            <wp:extent cx="6858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-2473960</wp:posOffset>
            </wp:positionV>
            <wp:extent cx="6858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5669280</wp:posOffset>
            </wp:positionH>
            <wp:positionV relativeFrom="paragraph">
              <wp:posOffset>-363220</wp:posOffset>
            </wp:positionV>
            <wp:extent cx="1480820" cy="196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80820" cy="196850"/>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-24765</wp:posOffset>
            </wp:positionV>
            <wp:extent cx="1455420" cy="3340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55420" cy="334010"/>
                    </a:xfrm>
                    <a:prstGeom prst="rect">
                      <a:avLst/>
                    </a:prstGeom>
                    <a:noFill/>
                  </pic:spPr>
                </pic:pic>
              </a:graphicData>
            </a:graphic>
          </wp:anchor>
        </w:drawing>
      </w: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notes to unaudited condensed consolidated financial statements included in our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1" w:name="page12"/>
    <w:bookmarkEnd w:id="11"/>
    <w:p>
      <w:pPr>
        <w:jc w:val="center"/>
        <w:ind w:right="100"/>
        <w:spacing w:after="0"/>
        <w:rPr>
          <w:sz w:val="20"/>
          <w:szCs w:val="20"/>
          <w:color w:val="auto"/>
        </w:rPr>
      </w:pPr>
      <w:r>
        <w:rPr>
          <w:rFonts w:ascii="Arial" w:cs="Arial" w:eastAsia="Arial" w:hAnsi="Arial"/>
          <w:sz w:val="18"/>
          <w:szCs w:val="18"/>
          <w:b w:val="1"/>
          <w:bCs w:val="1"/>
          <w:color w:val="auto"/>
        </w:rPr>
        <w:t>CommScope Holding Company, Inc.</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 --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5"/>
          </w:tcPr>
          <w:p>
            <w:pPr>
              <w:jc w:val="right"/>
              <w:ind w:right="59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1980" w:type="dxa"/>
            <w:vAlign w:val="bottom"/>
            <w:gridSpan w:val="5"/>
          </w:tcPr>
          <w:p>
            <w:pPr>
              <w:jc w:val="right"/>
              <w:ind w:right="46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6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9"/>
                <w:szCs w:val="19"/>
                <w:color w:val="auto"/>
              </w:rPr>
            </w:pPr>
          </w:p>
        </w:tc>
      </w:tr>
      <w:tr>
        <w:trPr>
          <w:trHeight w:val="236"/>
        </w:trPr>
        <w:tc>
          <w:tcPr>
            <w:tcW w:w="660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CECFF"/>
          </w:tcPr>
          <w:p>
            <w:pPr>
              <w:spacing w:after="0"/>
              <w:rPr>
                <w:sz w:val="20"/>
                <w:szCs w:val="20"/>
                <w:color w:val="auto"/>
              </w:rPr>
            </w:pPr>
          </w:p>
        </w:tc>
        <w:tc>
          <w:tcPr>
            <w:tcW w:w="76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60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76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6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36"/>
        </w:trPr>
        <w:tc>
          <w:tcPr>
            <w:tcW w:w="660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(828.7 )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(925.7 )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(178.0 )</w:t>
            </w:r>
          </w:p>
        </w:tc>
      </w:tr>
      <w:tr>
        <w:trPr>
          <w:trHeight w:val="221"/>
        </w:trPr>
        <w:tc>
          <w:tcPr>
            <w:tcW w:w="6600" w:type="dxa"/>
            <w:vAlign w:val="bottom"/>
            <w:shd w:val="clear" w:color="auto" w:fill="CCECFF"/>
          </w:tcPr>
          <w:p>
            <w:pPr>
              <w:ind w:left="20"/>
              <w:spacing w:after="0"/>
              <w:rPr>
                <w:sz w:val="20"/>
                <w:szCs w:val="20"/>
                <w:color w:val="auto"/>
              </w:rPr>
            </w:pPr>
            <w:r>
              <w:rPr>
                <w:rFonts w:ascii="Arial" w:cs="Arial" w:eastAsia="Arial" w:hAnsi="Arial"/>
                <w:sz w:val="18"/>
                <w:szCs w:val="18"/>
                <w:color w:val="auto"/>
              </w:rPr>
              <w:t>Adjustments to reconcile net income (loss) to net cash generated by (used in)</w:t>
            </w:r>
          </w:p>
        </w:tc>
        <w:tc>
          <w:tcPr>
            <w:tcW w:w="240" w:type="dxa"/>
            <w:vAlign w:val="bottom"/>
            <w:shd w:val="clear" w:color="auto" w:fill="CCECFF"/>
          </w:tcPr>
          <w:p>
            <w:pPr>
              <w:spacing w:after="0"/>
              <w:rPr>
                <w:sz w:val="19"/>
                <w:szCs w:val="19"/>
                <w:color w:val="auto"/>
              </w:rPr>
            </w:pPr>
          </w:p>
        </w:tc>
        <w:tc>
          <w:tcPr>
            <w:tcW w:w="7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76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44"/>
        </w:trPr>
        <w:tc>
          <w:tcPr>
            <w:tcW w:w="6600" w:type="dxa"/>
            <w:vAlign w:val="bottom"/>
            <w:shd w:val="clear" w:color="auto" w:fill="CCECFF"/>
          </w:tcPr>
          <w:p>
            <w:pPr>
              <w:ind w:left="160"/>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CFF"/>
          </w:tcPr>
          <w:p>
            <w:pPr>
              <w:spacing w:after="0"/>
              <w:rPr>
                <w:sz w:val="21"/>
                <w:szCs w:val="21"/>
                <w:color w:val="auto"/>
              </w:rPr>
            </w:pPr>
          </w:p>
        </w:tc>
        <w:tc>
          <w:tcPr>
            <w:tcW w:w="7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6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76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6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6"/>
        </w:trPr>
        <w:tc>
          <w:tcPr>
            <w:tcW w:w="66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442.2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20"/>
                <w:szCs w:val="20"/>
                <w:color w:val="auto"/>
              </w:rPr>
            </w:pPr>
          </w:p>
        </w:tc>
      </w:tr>
      <w:tr>
        <w:trPr>
          <w:trHeight w:val="249"/>
        </w:trPr>
        <w:tc>
          <w:tcPr>
            <w:tcW w:w="6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Equity-based compensation</w:t>
            </w:r>
          </w:p>
        </w:tc>
        <w:tc>
          <w:tcPr>
            <w:tcW w:w="24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35.5</w:t>
            </w: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CFF"/>
          </w:tcPr>
          <w:p>
            <w:pPr>
              <w:spacing w:after="0"/>
              <w:rPr>
                <w:sz w:val="21"/>
                <w:szCs w:val="21"/>
                <w:color w:val="auto"/>
              </w:rPr>
            </w:pPr>
          </w:p>
        </w:tc>
      </w:tr>
      <w:tr>
        <w:trPr>
          <w:trHeight w:val="236"/>
        </w:trPr>
        <w:tc>
          <w:tcPr>
            <w:tcW w:w="660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(188.0 )</w:t>
            </w:r>
          </w:p>
        </w:tc>
        <w:tc>
          <w:tcPr>
            <w:tcW w:w="260" w:type="dxa"/>
            <w:vAlign w:val="bottom"/>
          </w:tcPr>
          <w:p>
            <w:pPr>
              <w:spacing w:after="0"/>
              <w:rPr>
                <w:sz w:val="20"/>
                <w:szCs w:val="20"/>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(49.0 )</w:t>
            </w:r>
          </w:p>
        </w:tc>
        <w:tc>
          <w:tcPr>
            <w:tcW w:w="2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(249.9 )</w:t>
            </w:r>
          </w:p>
        </w:tc>
        <w:tc>
          <w:tcPr>
            <w:tcW w:w="2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(75.2 )</w:t>
            </w:r>
          </w:p>
        </w:tc>
      </w:tr>
      <w:tr>
        <w:trPr>
          <w:trHeight w:val="249"/>
        </w:trPr>
        <w:tc>
          <w:tcPr>
            <w:tcW w:w="6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Asset impairments</w:t>
            </w:r>
          </w:p>
        </w:tc>
        <w:tc>
          <w:tcPr>
            <w:tcW w:w="24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895.1</w:t>
            </w:r>
          </w:p>
        </w:tc>
        <w:tc>
          <w:tcPr>
            <w:tcW w:w="3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1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895.1</w:t>
            </w: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700" w:type="dxa"/>
            <w:vAlign w:val="bottom"/>
            <w:gridSpan w:val="2"/>
            <w:shd w:val="clear" w:color="auto" w:fill="CCECFF"/>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6600" w:type="dxa"/>
            <w:vAlign w:val="bottom"/>
          </w:tcPr>
          <w:p>
            <w:pPr>
              <w:ind w:left="12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00" w:type="dxa"/>
            <w:vAlign w:val="bottom"/>
            <w:shd w:val="clear" w:color="auto" w:fill="CCECFF"/>
          </w:tcPr>
          <w:p>
            <w:pPr>
              <w:ind w:left="30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200.6</w:t>
            </w:r>
          </w:p>
        </w:tc>
        <w:tc>
          <w:tcPr>
            <w:tcW w:w="3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(104.6 )</w:t>
            </w:r>
          </w:p>
        </w:tc>
        <w:tc>
          <w:tcPr>
            <w:tcW w:w="24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375.0</w:t>
            </w: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(191.0 )</w:t>
            </w:r>
          </w:p>
        </w:tc>
      </w:tr>
      <w:tr>
        <w:trPr>
          <w:trHeight w:val="236"/>
        </w:trPr>
        <w:tc>
          <w:tcPr>
            <w:tcW w:w="660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(1.9 )</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(153.3 )</w:t>
            </w:r>
          </w:p>
        </w:tc>
      </w:tr>
      <w:tr>
        <w:trPr>
          <w:trHeight w:val="249"/>
        </w:trPr>
        <w:tc>
          <w:tcPr>
            <w:tcW w:w="6600" w:type="dxa"/>
            <w:vAlign w:val="bottom"/>
            <w:shd w:val="clear" w:color="auto" w:fill="CCECFF"/>
          </w:tcPr>
          <w:p>
            <w:pPr>
              <w:ind w:left="30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130"/>
              <w:spacing w:after="0"/>
              <w:rPr>
                <w:sz w:val="20"/>
                <w:szCs w:val="20"/>
                <w:color w:val="auto"/>
              </w:rPr>
            </w:pPr>
            <w:r>
              <w:rPr>
                <w:rFonts w:ascii="Arial" w:cs="Arial" w:eastAsia="Arial" w:hAnsi="Arial"/>
                <w:sz w:val="18"/>
                <w:szCs w:val="18"/>
                <w:color w:val="auto"/>
              </w:rPr>
              <w:t>(3.1 )</w:t>
            </w:r>
          </w:p>
        </w:tc>
        <w:tc>
          <w:tcPr>
            <w:tcW w:w="26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(6.8 )</w:t>
            </w:r>
          </w:p>
        </w:tc>
        <w:tc>
          <w:tcPr>
            <w:tcW w:w="24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(4.7 )</w:t>
            </w:r>
          </w:p>
        </w:tc>
      </w:tr>
      <w:tr>
        <w:trPr>
          <w:trHeight w:val="236"/>
        </w:trPr>
        <w:tc>
          <w:tcPr>
            <w:tcW w:w="6600" w:type="dxa"/>
            <w:vAlign w:val="bottom"/>
          </w:tcPr>
          <w:p>
            <w:pPr>
              <w:ind w:left="300"/>
              <w:spacing w:after="0"/>
              <w:rPr>
                <w:sz w:val="20"/>
                <w:szCs w:val="20"/>
                <w:color w:val="auto"/>
              </w:rPr>
            </w:pPr>
            <w:r>
              <w:rPr>
                <w:rFonts w:ascii="Arial" w:cs="Arial" w:eastAsia="Arial" w:hAnsi="Arial"/>
                <w:sz w:val="18"/>
                <w:szCs w:val="18"/>
                <w:color w:val="auto"/>
              </w:rPr>
              <w:t>Accounts payable and other liabilities</w:t>
            </w:r>
          </w:p>
        </w:tc>
        <w:tc>
          <w:tcPr>
            <w:tcW w:w="24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(113.6 )</w:t>
            </w:r>
          </w:p>
        </w:tc>
        <w:tc>
          <w:tcPr>
            <w:tcW w:w="260" w:type="dxa"/>
            <w:vAlign w:val="bottom"/>
          </w:tcPr>
          <w:p>
            <w:pPr>
              <w:spacing w:after="0"/>
              <w:rPr>
                <w:sz w:val="20"/>
                <w:szCs w:val="20"/>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(126.0 )</w:t>
            </w:r>
          </w:p>
        </w:tc>
        <w:tc>
          <w:tcPr>
            <w:tcW w:w="2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(524.8 )</w:t>
            </w:r>
          </w:p>
        </w:tc>
        <w:tc>
          <w:tcPr>
            <w:tcW w:w="2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(154.8 )</w:t>
            </w:r>
          </w:p>
        </w:tc>
      </w:tr>
      <w:tr>
        <w:trPr>
          <w:trHeight w:val="249"/>
        </w:trPr>
        <w:tc>
          <w:tcPr>
            <w:tcW w:w="6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130"/>
              <w:spacing w:after="0"/>
              <w:rPr>
                <w:sz w:val="20"/>
                <w:szCs w:val="20"/>
                <w:color w:val="auto"/>
              </w:rPr>
            </w:pPr>
            <w:r>
              <w:rPr>
                <w:rFonts w:ascii="Arial" w:cs="Arial" w:eastAsia="Arial" w:hAnsi="Arial"/>
                <w:sz w:val="18"/>
                <w:szCs w:val="18"/>
                <w:color w:val="auto"/>
              </w:rPr>
              <w:t>(55.9 )</w:t>
            </w:r>
          </w:p>
        </w:tc>
        <w:tc>
          <w:tcPr>
            <w:tcW w:w="26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(11.4 )</w:t>
            </w:r>
          </w:p>
        </w:tc>
        <w:tc>
          <w:tcPr>
            <w:tcW w:w="24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(49.1 )</w:t>
            </w:r>
          </w:p>
        </w:tc>
        <w:tc>
          <w:tcPr>
            <w:tcW w:w="240" w:type="dxa"/>
            <w:vAlign w:val="bottom"/>
            <w:shd w:val="clear" w:color="auto" w:fill="CCECFF"/>
          </w:tcPr>
          <w:p>
            <w:pPr>
              <w:spacing w:after="0"/>
              <w:rPr>
                <w:sz w:val="21"/>
                <w:szCs w:val="21"/>
                <w:color w:val="auto"/>
              </w:rPr>
            </w:pP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(14.1 )</w:t>
            </w:r>
          </w:p>
        </w:tc>
      </w:tr>
      <w:tr>
        <w:trPr>
          <w:trHeight w:val="20"/>
        </w:trPr>
        <w:tc>
          <w:tcPr>
            <w:tcW w:w="660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Net cash generated by (used in) operating activities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(87.6 )</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229.5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(196.7 )</w:t>
            </w:r>
          </w:p>
        </w:tc>
      </w:tr>
      <w:tr>
        <w:trPr>
          <w:trHeight w:val="249"/>
        </w:trPr>
        <w:tc>
          <w:tcPr>
            <w:tcW w:w="660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shd w:val="clear" w:color="auto" w:fill="CCECFF"/>
          </w:tcPr>
          <w:p>
            <w:pPr>
              <w:spacing w:after="0"/>
              <w:rPr>
                <w:sz w:val="21"/>
                <w:szCs w:val="21"/>
                <w:color w:val="auto"/>
              </w:rPr>
            </w:pPr>
          </w:p>
        </w:tc>
        <w:tc>
          <w:tcPr>
            <w:tcW w:w="7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6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76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6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6"/>
        </w:trPr>
        <w:tc>
          <w:tcPr>
            <w:tcW w:w="6600" w:type="dxa"/>
            <w:vAlign w:val="bottom"/>
          </w:tcPr>
          <w:p>
            <w:pPr>
              <w:ind w:left="120"/>
              <w:spacing w:after="0"/>
              <w:rPr>
                <w:sz w:val="20"/>
                <w:szCs w:val="20"/>
                <w:color w:val="auto"/>
              </w:rPr>
            </w:pPr>
            <w:r>
              <w:rPr>
                <w:rFonts w:ascii="Arial" w:cs="Arial" w:eastAsia="Arial" w:hAnsi="Arial"/>
                <w:sz w:val="18"/>
                <w:szCs w:val="18"/>
                <w:color w:val="auto"/>
              </w:rPr>
              <w:t>Additions to property, plant and equipment</w:t>
            </w:r>
          </w:p>
        </w:tc>
        <w:tc>
          <w:tcPr>
            <w:tcW w:w="24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(8.7 )</w:t>
            </w:r>
          </w:p>
        </w:tc>
        <w:tc>
          <w:tcPr>
            <w:tcW w:w="260" w:type="dxa"/>
            <w:vAlign w:val="bottom"/>
          </w:tcPr>
          <w:p>
            <w:pPr>
              <w:spacing w:after="0"/>
              <w:rPr>
                <w:sz w:val="20"/>
                <w:szCs w:val="20"/>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(23.6 )</w:t>
            </w:r>
          </w:p>
        </w:tc>
        <w:tc>
          <w:tcPr>
            <w:tcW w:w="2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(43.9 )</w:t>
            </w:r>
          </w:p>
        </w:tc>
        <w:tc>
          <w:tcPr>
            <w:tcW w:w="2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(78.7 )</w:t>
            </w:r>
          </w:p>
        </w:tc>
      </w:tr>
      <w:tr>
        <w:trPr>
          <w:trHeight w:val="249"/>
        </w:trPr>
        <w:tc>
          <w:tcPr>
            <w:tcW w:w="6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Proceeds from sale of property, plant and equipment</w:t>
            </w:r>
          </w:p>
        </w:tc>
        <w:tc>
          <w:tcPr>
            <w:tcW w:w="24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41.8</w:t>
            </w: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CFF"/>
          </w:tcPr>
          <w:p>
            <w:pPr>
              <w:spacing w:after="0"/>
              <w:rPr>
                <w:sz w:val="21"/>
                <w:szCs w:val="21"/>
                <w:color w:val="auto"/>
              </w:rPr>
            </w:pPr>
          </w:p>
        </w:tc>
      </w:tr>
      <w:tr>
        <w:trPr>
          <w:trHeight w:val="243"/>
        </w:trPr>
        <w:tc>
          <w:tcPr>
            <w:tcW w:w="6600" w:type="dxa"/>
            <w:vAlign w:val="bottom"/>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r>
      <w:tr>
        <w:trPr>
          <w:trHeight w:val="236"/>
        </w:trPr>
        <w:tc>
          <w:tcPr>
            <w:tcW w:w="660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cash generated by (used in) investing activities</w:t>
            </w:r>
          </w:p>
        </w:tc>
        <w:tc>
          <w:tcPr>
            <w:tcW w:w="240" w:type="dxa"/>
            <w:vAlign w:val="bottom"/>
            <w:tcBorders>
              <w:top w:val="single" w:sz="8" w:color="auto"/>
            </w:tcBorders>
            <w:shd w:val="clear" w:color="auto" w:fill="CCECFF"/>
          </w:tcPr>
          <w:p>
            <w:pPr>
              <w:spacing w:after="0"/>
              <w:rPr>
                <w:sz w:val="20"/>
                <w:szCs w:val="20"/>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CFF"/>
          </w:tcPr>
          <w:p>
            <w:pPr>
              <w:spacing w:after="0"/>
              <w:rPr>
                <w:sz w:val="20"/>
                <w:szCs w:val="20"/>
                <w:color w:val="auto"/>
              </w:rPr>
            </w:pPr>
          </w:p>
        </w:tc>
        <w:tc>
          <w:tcPr>
            <w:tcW w:w="6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(23.4</w:t>
            </w:r>
          </w:p>
        </w:tc>
        <w:tc>
          <w:tcPr>
            <w:tcW w:w="26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CECFF"/>
          </w:tcPr>
          <w:p>
            <w:pPr>
              <w:spacing w:after="0"/>
              <w:rPr>
                <w:sz w:val="20"/>
                <w:szCs w:val="20"/>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CFF"/>
          </w:tcPr>
          <w:p>
            <w:pPr>
              <w:spacing w:after="0"/>
              <w:rPr>
                <w:sz w:val="20"/>
                <w:szCs w:val="20"/>
                <w:color w:val="auto"/>
              </w:rPr>
            </w:pPr>
          </w:p>
        </w:tc>
        <w:tc>
          <w:tcPr>
            <w:tcW w:w="240" w:type="dxa"/>
            <w:vAlign w:val="bottom"/>
            <w:tcBorders>
              <w:top w:val="single" w:sz="8" w:color="auto"/>
            </w:tcBorders>
            <w:shd w:val="clear" w:color="auto" w:fill="CCECFF"/>
          </w:tcPr>
          <w:p>
            <w:pPr>
              <w:spacing w:after="0"/>
              <w:rPr>
                <w:sz w:val="20"/>
                <w:szCs w:val="20"/>
                <w:color w:val="auto"/>
              </w:rPr>
            </w:pPr>
          </w:p>
        </w:tc>
        <w:tc>
          <w:tcPr>
            <w:tcW w:w="6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color w:val="auto"/>
                <w:w w:val="74"/>
              </w:rPr>
              <w:t>)</w:t>
            </w:r>
          </w:p>
        </w:tc>
      </w:tr>
      <w:tr>
        <w:trPr>
          <w:trHeight w:val="238"/>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Long-term debt repaid</w:t>
            </w:r>
          </w:p>
        </w:tc>
        <w:tc>
          <w:tcPr>
            <w:tcW w:w="24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130"/>
              <w:spacing w:after="0"/>
              <w:rPr>
                <w:sz w:val="20"/>
                <w:szCs w:val="20"/>
                <w:color w:val="auto"/>
              </w:rPr>
            </w:pPr>
            <w:r>
              <w:rPr>
                <w:rFonts w:ascii="Arial" w:cs="Arial" w:eastAsia="Arial" w:hAnsi="Arial"/>
                <w:sz w:val="18"/>
                <w:szCs w:val="18"/>
                <w:color w:val="auto"/>
              </w:rPr>
              <w:t>(8.0 )</w:t>
            </w:r>
          </w:p>
        </w:tc>
        <w:tc>
          <w:tcPr>
            <w:tcW w:w="26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(76.0 )</w:t>
            </w:r>
          </w:p>
        </w:tc>
        <w:tc>
          <w:tcPr>
            <w:tcW w:w="24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(24.0 )</w:t>
            </w:r>
          </w:p>
        </w:tc>
        <w:tc>
          <w:tcPr>
            <w:tcW w:w="240" w:type="dxa"/>
            <w:vAlign w:val="bottom"/>
            <w:shd w:val="clear" w:color="auto" w:fill="CCECFF"/>
          </w:tcPr>
          <w:p>
            <w:pPr>
              <w:spacing w:after="0"/>
              <w:rPr>
                <w:sz w:val="21"/>
                <w:szCs w:val="21"/>
                <w:color w:val="auto"/>
              </w:rPr>
            </w:pP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(252.0 )</w:t>
            </w:r>
          </w:p>
        </w:tc>
      </w:tr>
      <w:tr>
        <w:trPr>
          <w:trHeight w:val="236"/>
        </w:trPr>
        <w:tc>
          <w:tcPr>
            <w:tcW w:w="6600" w:type="dxa"/>
            <w:vAlign w:val="bottom"/>
          </w:tcPr>
          <w:p>
            <w:pPr>
              <w:ind w:left="120"/>
              <w:spacing w:after="0"/>
              <w:rPr>
                <w:sz w:val="20"/>
                <w:szCs w:val="20"/>
                <w:color w:val="auto"/>
              </w:rPr>
            </w:pPr>
            <w:r>
              <w:rPr>
                <w:rFonts w:ascii="Arial" w:cs="Arial" w:eastAsia="Arial" w:hAnsi="Arial"/>
                <w:sz w:val="18"/>
                <w:szCs w:val="18"/>
                <w:color w:val="auto"/>
              </w:rPr>
              <w:t>Long-term debt repurchases</w:t>
            </w:r>
          </w:p>
        </w:tc>
        <w:tc>
          <w:tcPr>
            <w:tcW w:w="24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(17.1 )</w:t>
            </w:r>
          </w:p>
        </w:tc>
        <w:tc>
          <w:tcPr>
            <w:tcW w:w="260" w:type="dxa"/>
            <w:vAlign w:val="bottom"/>
          </w:tcPr>
          <w:p>
            <w:pPr>
              <w:spacing w:after="0"/>
              <w:rPr>
                <w:sz w:val="20"/>
                <w:szCs w:val="20"/>
                <w:color w:val="auto"/>
              </w:rPr>
            </w:pPr>
          </w:p>
        </w:tc>
        <w:tc>
          <w:tcPr>
            <w:tcW w:w="8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(92.1 )</w:t>
            </w:r>
          </w:p>
        </w:tc>
        <w:tc>
          <w:tcPr>
            <w:tcW w:w="240" w:type="dxa"/>
            <w:vAlign w:val="bottom"/>
          </w:tcPr>
          <w:p>
            <w:pPr>
              <w:spacing w:after="0"/>
              <w:rPr>
                <w:sz w:val="20"/>
                <w:szCs w:val="20"/>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6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Long-term debt proceeds</w:t>
            </w:r>
          </w:p>
        </w:tc>
        <w:tc>
          <w:tcPr>
            <w:tcW w:w="24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2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123.0</w:t>
            </w:r>
          </w:p>
        </w:tc>
        <w:tc>
          <w:tcPr>
            <w:tcW w:w="26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333.0</w:t>
            </w:r>
          </w:p>
        </w:tc>
        <w:tc>
          <w:tcPr>
            <w:tcW w:w="100" w:type="dxa"/>
            <w:vAlign w:val="bottom"/>
            <w:shd w:val="clear" w:color="auto" w:fill="CCECFF"/>
          </w:tcPr>
          <w:p>
            <w:pPr>
              <w:spacing w:after="0"/>
              <w:rPr>
                <w:sz w:val="21"/>
                <w:szCs w:val="21"/>
                <w:color w:val="auto"/>
              </w:rPr>
            </w:pPr>
          </w:p>
        </w:tc>
      </w:tr>
      <w:tr>
        <w:trPr>
          <w:trHeight w:val="236"/>
        </w:trPr>
        <w:tc>
          <w:tcPr>
            <w:tcW w:w="6600" w:type="dxa"/>
            <w:vAlign w:val="bottom"/>
          </w:tcPr>
          <w:p>
            <w:pPr>
              <w:ind w:left="120"/>
              <w:spacing w:after="0"/>
              <w:rPr>
                <w:sz w:val="20"/>
                <w:szCs w:val="20"/>
                <w:color w:val="auto"/>
              </w:rPr>
            </w:pPr>
            <w:r>
              <w:rPr>
                <w:rFonts w:ascii="Arial" w:cs="Arial" w:eastAsia="Arial" w:hAnsi="Arial"/>
                <w:sz w:val="18"/>
                <w:szCs w:val="18"/>
                <w:color w:val="auto"/>
              </w:rPr>
              <w:t>Dividends paid on Series A convertible preferred stock</w:t>
            </w:r>
          </w:p>
        </w:tc>
        <w:tc>
          <w:tcPr>
            <w:tcW w:w="240" w:type="dxa"/>
            <w:vAlign w:val="bottom"/>
          </w:tcPr>
          <w:p>
            <w:pPr>
              <w:spacing w:after="0"/>
              <w:rPr>
                <w:sz w:val="20"/>
                <w:szCs w:val="20"/>
                <w:color w:val="auto"/>
              </w:rPr>
            </w:pPr>
          </w:p>
        </w:tc>
        <w:tc>
          <w:tcPr>
            <w:tcW w:w="10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(14.9 )</w:t>
            </w:r>
          </w:p>
        </w:tc>
        <w:tc>
          <w:tcPr>
            <w:tcW w:w="2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(14.9 )</w:t>
            </w:r>
          </w:p>
        </w:tc>
      </w:tr>
      <w:tr>
        <w:trPr>
          <w:trHeight w:val="221"/>
        </w:trPr>
        <w:tc>
          <w:tcPr>
            <w:tcW w:w="6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Proceeds from the issuance of common shares under equity-based</w:t>
            </w:r>
          </w:p>
        </w:tc>
        <w:tc>
          <w:tcPr>
            <w:tcW w:w="240" w:type="dxa"/>
            <w:vAlign w:val="bottom"/>
            <w:shd w:val="clear" w:color="auto" w:fill="CCECFF"/>
          </w:tcPr>
          <w:p>
            <w:pPr>
              <w:spacing w:after="0"/>
              <w:rPr>
                <w:sz w:val="19"/>
                <w:szCs w:val="19"/>
                <w:color w:val="auto"/>
              </w:rPr>
            </w:pPr>
          </w:p>
        </w:tc>
        <w:tc>
          <w:tcPr>
            <w:tcW w:w="7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76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44"/>
        </w:trPr>
        <w:tc>
          <w:tcPr>
            <w:tcW w:w="6600" w:type="dxa"/>
            <w:vAlign w:val="bottom"/>
            <w:shd w:val="clear" w:color="auto" w:fill="CCECFF"/>
          </w:tcPr>
          <w:p>
            <w:pPr>
              <w:ind w:left="240"/>
              <w:spacing w:after="0"/>
              <w:rPr>
                <w:sz w:val="20"/>
                <w:szCs w:val="20"/>
                <w:color w:val="auto"/>
              </w:rPr>
            </w:pPr>
            <w:r>
              <w:rPr>
                <w:rFonts w:ascii="Arial" w:cs="Arial" w:eastAsia="Arial" w:hAnsi="Arial"/>
                <w:sz w:val="18"/>
                <w:szCs w:val="18"/>
                <w:color w:val="auto"/>
              </w:rPr>
              <w:t>compensation plans</w:t>
            </w:r>
          </w:p>
        </w:tc>
        <w:tc>
          <w:tcPr>
            <w:tcW w:w="24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2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CFF"/>
          </w:tcPr>
          <w:p>
            <w:pPr>
              <w:spacing w:after="0"/>
              <w:rPr>
                <w:sz w:val="21"/>
                <w:szCs w:val="21"/>
                <w:color w:val="auto"/>
              </w:rPr>
            </w:pPr>
          </w:p>
        </w:tc>
      </w:tr>
      <w:tr>
        <w:trPr>
          <w:trHeight w:val="236"/>
        </w:trPr>
        <w:tc>
          <w:tcPr>
            <w:tcW w:w="6600" w:type="dxa"/>
            <w:vAlign w:val="bottom"/>
          </w:tcPr>
          <w:p>
            <w:pPr>
              <w:ind w:left="120"/>
              <w:spacing w:after="0"/>
              <w:rPr>
                <w:sz w:val="20"/>
                <w:szCs w:val="20"/>
                <w:color w:val="auto"/>
              </w:rPr>
            </w:pPr>
            <w:r>
              <w:rPr>
                <w:rFonts w:ascii="Arial" w:cs="Arial" w:eastAsia="Arial" w:hAnsi="Arial"/>
                <w:sz w:val="18"/>
                <w:szCs w:val="18"/>
                <w:color w:val="auto"/>
              </w:rPr>
              <w:t>Tax withholding payments for vested equity-based compensation awards</w:t>
            </w:r>
          </w:p>
        </w:tc>
        <w:tc>
          <w:tcPr>
            <w:tcW w:w="240" w:type="dxa"/>
            <w:vAlign w:val="bottom"/>
          </w:tcPr>
          <w:p>
            <w:pPr>
              <w:spacing w:after="0"/>
              <w:rPr>
                <w:sz w:val="20"/>
                <w:szCs w:val="20"/>
                <w:color w:val="auto"/>
              </w:rPr>
            </w:pPr>
          </w:p>
        </w:tc>
        <w:tc>
          <w:tcPr>
            <w:tcW w:w="10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(0.1 )</w:t>
            </w:r>
          </w:p>
        </w:tc>
        <w:tc>
          <w:tcPr>
            <w:tcW w:w="2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(8.9 )</w:t>
            </w:r>
          </w:p>
        </w:tc>
        <w:tc>
          <w:tcPr>
            <w:tcW w:w="2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(14.0 )</w:t>
            </w:r>
          </w:p>
        </w:tc>
      </w:tr>
      <w:tr>
        <w:trPr>
          <w:trHeight w:val="249"/>
        </w:trPr>
        <w:tc>
          <w:tcPr>
            <w:tcW w:w="660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CFF"/>
          </w:tcPr>
          <w:p>
            <w:pPr>
              <w:spacing w:after="0"/>
              <w:rPr>
                <w:sz w:val="21"/>
                <w:szCs w:val="21"/>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spacing w:after="0"/>
              <w:rPr>
                <w:sz w:val="21"/>
                <w:szCs w:val="21"/>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spacing w:after="0"/>
              <w:rPr>
                <w:sz w:val="21"/>
                <w:szCs w:val="2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Net cash generated by (used in) financing activities</w:t>
            </w:r>
          </w:p>
        </w:tc>
        <w:tc>
          <w:tcPr>
            <w:tcW w:w="240" w:type="dxa"/>
            <w:vAlign w:val="bottom"/>
          </w:tcPr>
          <w:p>
            <w:pPr>
              <w:spacing w:after="0"/>
              <w:rPr>
                <w:sz w:val="19"/>
                <w:szCs w:val="19"/>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(25.1 )</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(122.9 )</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r>
      <w:tr>
        <w:trPr>
          <w:trHeight w:val="249"/>
        </w:trPr>
        <w:tc>
          <w:tcPr>
            <w:tcW w:w="6600" w:type="dxa"/>
            <w:vAlign w:val="bottom"/>
            <w:shd w:val="clear" w:color="auto" w:fill="CCEC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130"/>
              <w:spacing w:after="0"/>
              <w:rPr>
                <w:sz w:val="20"/>
                <w:szCs w:val="20"/>
                <w:color w:val="auto"/>
              </w:rPr>
            </w:pPr>
            <w:r>
              <w:rPr>
                <w:rFonts w:ascii="Arial" w:cs="Arial" w:eastAsia="Arial" w:hAnsi="Arial"/>
                <w:sz w:val="18"/>
                <w:szCs w:val="18"/>
                <w:color w:val="auto"/>
              </w:rPr>
              <w:t>(4.3 )</w:t>
            </w:r>
          </w:p>
        </w:tc>
        <w:tc>
          <w:tcPr>
            <w:tcW w:w="26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(5.7 )</w:t>
            </w:r>
          </w:p>
        </w:tc>
        <w:tc>
          <w:tcPr>
            <w:tcW w:w="24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(4.1 )</w:t>
            </w:r>
          </w:p>
        </w:tc>
        <w:tc>
          <w:tcPr>
            <w:tcW w:w="240" w:type="dxa"/>
            <w:vAlign w:val="bottom"/>
            <w:shd w:val="clear" w:color="auto" w:fill="CCECFF"/>
          </w:tcPr>
          <w:p>
            <w:pPr>
              <w:spacing w:after="0"/>
              <w:rPr>
                <w:sz w:val="21"/>
                <w:szCs w:val="21"/>
                <w:color w:val="auto"/>
              </w:rPr>
            </w:pP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(9.9 )</w:t>
            </w:r>
          </w:p>
        </w:tc>
      </w:tr>
      <w:tr>
        <w:trPr>
          <w:trHeight w:val="20"/>
        </w:trPr>
        <w:tc>
          <w:tcPr>
            <w:tcW w:w="660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Change in cash and cash equivalents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(83.8 )</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(214.8 )</w:t>
            </w:r>
          </w:p>
        </w:tc>
      </w:tr>
      <w:tr>
        <w:trPr>
          <w:trHeight w:val="249"/>
        </w:trPr>
        <w:tc>
          <w:tcPr>
            <w:tcW w:w="66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shd w:val="clear" w:color="auto" w:fill="CCECFF"/>
          </w:tcPr>
          <w:p>
            <w:pPr>
              <w:spacing w:after="0"/>
              <w:rPr>
                <w:sz w:val="21"/>
                <w:szCs w:val="21"/>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418.1</w:t>
            </w:r>
          </w:p>
        </w:tc>
        <w:tc>
          <w:tcPr>
            <w:tcW w:w="30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229.3</w:t>
            </w:r>
          </w:p>
        </w:tc>
        <w:tc>
          <w:tcPr>
            <w:tcW w:w="26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spacing w:after="0"/>
              <w:rPr>
                <w:sz w:val="21"/>
                <w:szCs w:val="21"/>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398.1</w:t>
            </w:r>
          </w:p>
        </w:tc>
        <w:tc>
          <w:tcPr>
            <w:tcW w:w="28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spacing w:after="0"/>
              <w:rPr>
                <w:sz w:val="21"/>
                <w:szCs w:val="2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360.3</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w:t>
            </w:r>
          </w:p>
        </w:tc>
        <w:tc>
          <w:tcPr>
            <w:tcW w:w="3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4825365</wp:posOffset>
            </wp:positionH>
            <wp:positionV relativeFrom="paragraph">
              <wp:posOffset>-3133090</wp:posOffset>
            </wp:positionV>
            <wp:extent cx="76835"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-3133090</wp:posOffset>
            </wp:positionV>
            <wp:extent cx="6858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-3133090</wp:posOffset>
            </wp:positionV>
            <wp:extent cx="6858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-3133090</wp:posOffset>
            </wp:positionV>
            <wp:extent cx="68580"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-821055</wp:posOffset>
            </wp:positionV>
            <wp:extent cx="76835"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-821055</wp:posOffset>
            </wp:positionV>
            <wp:extent cx="6858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-821055</wp:posOffset>
            </wp:positionV>
            <wp:extent cx="6858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-504825</wp:posOffset>
            </wp:positionV>
            <wp:extent cx="76835"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-504825</wp:posOffset>
            </wp:positionV>
            <wp:extent cx="68580"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-504825</wp:posOffset>
            </wp:positionV>
            <wp:extent cx="68580"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-187960</wp:posOffset>
            </wp:positionV>
            <wp:extent cx="76835" cy="3422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-187960</wp:posOffset>
            </wp:positionV>
            <wp:extent cx="68580" cy="3422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-187960</wp:posOffset>
            </wp:positionV>
            <wp:extent cx="68580" cy="3422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4965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496570"/>
                    </a:xfrm>
                    <a:prstGeom prst="rect">
                      <a:avLst/>
                    </a:prstGeom>
                    <a:noFill/>
                  </pic:spPr>
                </pic:pic>
              </a:graphicData>
            </a:graphic>
          </wp:anchor>
        </w:drawing>
      </w: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notes to unaudited condensed consolidated financial statements included in our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738505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2" w:name="page13"/>
    <w:bookmarkEnd w:id="12"/>
    <w:p>
      <w:pPr>
        <w:jc w:val="center"/>
        <w:ind w:right="100"/>
        <w:spacing w:after="0"/>
        <w:rPr>
          <w:sz w:val="20"/>
          <w:szCs w:val="20"/>
          <w:color w:val="auto"/>
        </w:rPr>
      </w:pPr>
      <w:r>
        <w:rPr>
          <w:rFonts w:ascii="Arial" w:cs="Arial" w:eastAsia="Arial" w:hAnsi="Arial"/>
          <w:sz w:val="18"/>
          <w:szCs w:val="18"/>
          <w:b w:val="1"/>
          <w:bCs w:val="1"/>
          <w:color w:val="auto"/>
        </w:rPr>
        <w:t>CommScope Holding Company, Inc.</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Reconciliation of GAAP Measures to Non-GAAP Adjusted Measures</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 -- In millions, except per share amounts)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right"/>
              <w:ind w:right="7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2200" w:type="dxa"/>
            <w:vAlign w:val="bottom"/>
            <w:gridSpan w:val="5"/>
          </w:tcPr>
          <w:p>
            <w:pPr>
              <w:jc w:val="right"/>
              <w:ind w:right="501"/>
              <w:spacing w:after="0"/>
              <w:rPr>
                <w:sz w:val="20"/>
                <w:szCs w:val="20"/>
                <w:color w:val="auto"/>
              </w:rPr>
            </w:pPr>
            <w:r>
              <w:rPr>
                <w:rFonts w:ascii="Arial" w:cs="Arial" w:eastAsia="Arial" w:hAnsi="Arial"/>
                <w:sz w:val="16"/>
                <w:szCs w:val="16"/>
                <w:b w:val="1"/>
                <w:bCs w:val="1"/>
                <w:color w:val="auto"/>
              </w:rPr>
              <w:t>Nine Months Ended</w:t>
            </w:r>
          </w:p>
        </w:tc>
      </w:tr>
      <w:tr>
        <w:trPr>
          <w:trHeight w:val="242"/>
        </w:trPr>
        <w:tc>
          <w:tcPr>
            <w:tcW w:w="6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5"/>
          </w:tcPr>
          <w:p>
            <w:pPr>
              <w:jc w:val="right"/>
              <w:ind w:right="701"/>
              <w:spacing w:after="0"/>
              <w:rPr>
                <w:sz w:val="20"/>
                <w:szCs w:val="20"/>
                <w:color w:val="auto"/>
              </w:rPr>
            </w:pPr>
            <w:r>
              <w:rPr>
                <w:rFonts w:ascii="Arial" w:cs="Arial" w:eastAsia="Arial" w:hAnsi="Arial"/>
                <w:sz w:val="16"/>
                <w:szCs w:val="16"/>
                <w:b w:val="1"/>
                <w:bCs w:val="1"/>
                <w:color w:val="auto"/>
              </w:rPr>
              <w:t>September 30,</w:t>
            </w:r>
          </w:p>
        </w:tc>
      </w:tr>
      <w:tr>
        <w:trPr>
          <w:trHeight w:val="223"/>
        </w:trPr>
        <w:tc>
          <w:tcPr>
            <w:tcW w:w="6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w w:val="89"/>
              </w:rPr>
              <w:t>2022</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43"/>
        </w:trPr>
        <w:tc>
          <w:tcPr>
            <w:tcW w:w="612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Net income (loss), as reported</w:t>
            </w:r>
          </w:p>
        </w:tc>
        <w:tc>
          <w:tcPr>
            <w:tcW w:w="240" w:type="dxa"/>
            <w:vAlign w:val="bottom"/>
            <w:shd w:val="clear" w:color="auto" w:fill="CCEC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(828.7</w:t>
            </w:r>
          </w:p>
        </w:tc>
        <w:tc>
          <w:tcPr>
            <w:tcW w:w="340" w:type="dxa"/>
            <w:vAlign w:val="bottom"/>
            <w:shd w:val="clear" w:color="auto" w:fill="CCEC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22.9</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(925.7</w:t>
            </w:r>
          </w:p>
        </w:tc>
        <w:tc>
          <w:tcPr>
            <w:tcW w:w="300" w:type="dxa"/>
            <w:vAlign w:val="bottom"/>
            <w:shd w:val="clear" w:color="auto" w:fill="CCEC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(178.0</w:t>
            </w: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36"/>
        </w:trPr>
        <w:tc>
          <w:tcPr>
            <w:tcW w:w="61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(158.6 )</w:t>
            </w:r>
          </w:p>
        </w:tc>
        <w:tc>
          <w:tcPr>
            <w:tcW w:w="3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(12.2 )</w:t>
            </w:r>
          </w:p>
        </w:tc>
        <w:tc>
          <w:tcPr>
            <w:tcW w:w="22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(158.0 )</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r>
      <w:tr>
        <w:trPr>
          <w:trHeight w:val="249"/>
        </w:trPr>
        <w:tc>
          <w:tcPr>
            <w:tcW w:w="6120" w:type="dxa"/>
            <w:vAlign w:val="bottom"/>
            <w:shd w:val="clear" w:color="auto" w:fill="CCECFF"/>
          </w:tcPr>
          <w:p>
            <w:pPr>
              <w:ind w:left="20"/>
              <w:spacing w:after="0"/>
              <w:rPr>
                <w:sz w:val="20"/>
                <w:szCs w:val="20"/>
                <w:color w:val="auto"/>
              </w:rPr>
            </w:pPr>
            <w:r>
              <w:rPr>
                <w:rFonts w:ascii="Arial" w:cs="Arial" w:eastAsia="Arial" w:hAnsi="Arial"/>
                <w:sz w:val="18"/>
                <w:szCs w:val="18"/>
                <w:color w:val="auto"/>
              </w:rPr>
              <w:t>Interest income, as reported</w:t>
            </w:r>
          </w:p>
        </w:tc>
        <w:tc>
          <w:tcPr>
            <w:tcW w:w="24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ind w:right="170"/>
              <w:spacing w:after="0"/>
              <w:rPr>
                <w:sz w:val="20"/>
                <w:szCs w:val="20"/>
                <w:color w:val="auto"/>
              </w:rPr>
            </w:pPr>
            <w:r>
              <w:rPr>
                <w:rFonts w:ascii="Arial" w:cs="Arial" w:eastAsia="Arial" w:hAnsi="Arial"/>
                <w:sz w:val="18"/>
                <w:szCs w:val="18"/>
                <w:color w:val="auto"/>
              </w:rPr>
              <w:t>(3.4 )</w:t>
            </w:r>
          </w:p>
        </w:tc>
        <w:tc>
          <w:tcPr>
            <w:tcW w:w="320" w:type="dxa"/>
            <w:vAlign w:val="bottom"/>
            <w:shd w:val="clear" w:color="auto" w:fill="CCECFF"/>
          </w:tcPr>
          <w:p>
            <w:pPr>
              <w:spacing w:after="0"/>
              <w:rPr>
                <w:sz w:val="21"/>
                <w:szCs w:val="21"/>
                <w:color w:val="auto"/>
              </w:rPr>
            </w:pP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(0.6 )</w:t>
            </w:r>
          </w:p>
        </w:tc>
        <w:tc>
          <w:tcPr>
            <w:tcW w:w="220" w:type="dxa"/>
            <w:vAlign w:val="bottom"/>
            <w:shd w:val="clear" w:color="auto" w:fill="CCECFF"/>
          </w:tcPr>
          <w:p>
            <w:pPr>
              <w:spacing w:after="0"/>
              <w:rPr>
                <w:sz w:val="21"/>
                <w:szCs w:val="21"/>
                <w:color w:val="auto"/>
              </w:rPr>
            </w:pPr>
          </w:p>
        </w:tc>
        <w:tc>
          <w:tcPr>
            <w:tcW w:w="1080" w:type="dxa"/>
            <w:vAlign w:val="bottom"/>
            <w:gridSpan w:val="2"/>
            <w:shd w:val="clear" w:color="auto" w:fill="CCECFF"/>
          </w:tcPr>
          <w:p>
            <w:pPr>
              <w:jc w:val="right"/>
              <w:ind w:right="130"/>
              <w:spacing w:after="0"/>
              <w:rPr>
                <w:sz w:val="20"/>
                <w:szCs w:val="20"/>
                <w:color w:val="auto"/>
              </w:rPr>
            </w:pPr>
            <w:r>
              <w:rPr>
                <w:rFonts w:ascii="Arial" w:cs="Arial" w:eastAsia="Arial" w:hAnsi="Arial"/>
                <w:sz w:val="18"/>
                <w:szCs w:val="18"/>
                <w:color w:val="auto"/>
              </w:rPr>
              <w:t>(7.8 )</w:t>
            </w:r>
          </w:p>
        </w:tc>
        <w:tc>
          <w:tcPr>
            <w:tcW w:w="220" w:type="dxa"/>
            <w:vAlign w:val="bottom"/>
            <w:shd w:val="clear" w:color="auto" w:fill="CCECFF"/>
          </w:tcPr>
          <w:p>
            <w:pPr>
              <w:spacing w:after="0"/>
              <w:rPr>
                <w:sz w:val="21"/>
                <w:szCs w:val="21"/>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(1.8 )</w:t>
            </w:r>
          </w:p>
        </w:tc>
      </w:tr>
      <w:tr>
        <w:trPr>
          <w:trHeight w:val="236"/>
        </w:trPr>
        <w:tc>
          <w:tcPr>
            <w:tcW w:w="6120" w:type="dxa"/>
            <w:vAlign w:val="bottom"/>
          </w:tcPr>
          <w:p>
            <w:pPr>
              <w:ind w:left="20"/>
              <w:spacing w:after="0"/>
              <w:rPr>
                <w:sz w:val="20"/>
                <w:szCs w:val="20"/>
                <w:color w:val="auto"/>
              </w:rPr>
            </w:pPr>
            <w:r>
              <w:rPr>
                <w:rFonts w:ascii="Arial" w:cs="Arial" w:eastAsia="Arial" w:hAnsi="Arial"/>
                <w:sz w:val="18"/>
                <w:szCs w:val="18"/>
                <w:color w:val="auto"/>
              </w:rPr>
              <w:t>Interest expense, as reported</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171.3</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504.9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20"/>
                <w:szCs w:val="20"/>
                <w:color w:val="auto"/>
              </w:rPr>
            </w:pPr>
          </w:p>
        </w:tc>
      </w:tr>
      <w:tr>
        <w:trPr>
          <w:trHeight w:val="249"/>
        </w:trPr>
        <w:tc>
          <w:tcPr>
            <w:tcW w:w="6120" w:type="dxa"/>
            <w:vAlign w:val="bottom"/>
            <w:shd w:val="clear" w:color="auto" w:fill="CCECFF"/>
          </w:tcPr>
          <w:p>
            <w:pPr>
              <w:ind w:left="20"/>
              <w:spacing w:after="0"/>
              <w:rPr>
                <w:sz w:val="20"/>
                <w:szCs w:val="20"/>
                <w:color w:val="auto"/>
              </w:rPr>
            </w:pPr>
            <w:r>
              <w:rPr>
                <w:rFonts w:ascii="Arial" w:cs="Arial" w:eastAsia="Arial" w:hAnsi="Arial"/>
                <w:sz w:val="18"/>
                <w:szCs w:val="18"/>
                <w:color w:val="auto"/>
              </w:rPr>
              <w:t>Other income, net, as reported</w:t>
            </w:r>
          </w:p>
        </w:tc>
        <w:tc>
          <w:tcPr>
            <w:tcW w:w="24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ind w:right="170"/>
              <w:spacing w:after="0"/>
              <w:rPr>
                <w:sz w:val="20"/>
                <w:szCs w:val="20"/>
                <w:color w:val="auto"/>
              </w:rPr>
            </w:pPr>
            <w:r>
              <w:rPr>
                <w:rFonts w:ascii="Arial" w:cs="Arial" w:eastAsia="Arial" w:hAnsi="Arial"/>
                <w:sz w:val="18"/>
                <w:szCs w:val="18"/>
                <w:color w:val="auto"/>
              </w:rPr>
              <w:t>(6.4 )</w:t>
            </w:r>
          </w:p>
        </w:tc>
        <w:tc>
          <w:tcPr>
            <w:tcW w:w="320" w:type="dxa"/>
            <w:vAlign w:val="bottom"/>
            <w:shd w:val="clear" w:color="auto" w:fill="CCECFF"/>
          </w:tcPr>
          <w:p>
            <w:pPr>
              <w:spacing w:after="0"/>
              <w:rPr>
                <w:sz w:val="21"/>
                <w:szCs w:val="21"/>
                <w:color w:val="auto"/>
              </w:rPr>
            </w:pP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(5.4 )</w:t>
            </w:r>
          </w:p>
        </w:tc>
        <w:tc>
          <w:tcPr>
            <w:tcW w:w="220" w:type="dxa"/>
            <w:vAlign w:val="bottom"/>
            <w:shd w:val="clear" w:color="auto" w:fill="CCECFF"/>
          </w:tcPr>
          <w:p>
            <w:pPr>
              <w:spacing w:after="0"/>
              <w:rPr>
                <w:sz w:val="21"/>
                <w:szCs w:val="21"/>
                <w:color w:val="auto"/>
              </w:rPr>
            </w:pPr>
          </w:p>
        </w:tc>
        <w:tc>
          <w:tcPr>
            <w:tcW w:w="1080" w:type="dxa"/>
            <w:vAlign w:val="bottom"/>
            <w:gridSpan w:val="2"/>
            <w:shd w:val="clear" w:color="auto" w:fill="CCECFF"/>
          </w:tcPr>
          <w:p>
            <w:pPr>
              <w:jc w:val="right"/>
              <w:ind w:right="130"/>
              <w:spacing w:after="0"/>
              <w:rPr>
                <w:sz w:val="20"/>
                <w:szCs w:val="20"/>
                <w:color w:val="auto"/>
              </w:rPr>
            </w:pPr>
            <w:r>
              <w:rPr>
                <w:rFonts w:ascii="Arial" w:cs="Arial" w:eastAsia="Arial" w:hAnsi="Arial"/>
                <w:sz w:val="18"/>
                <w:szCs w:val="18"/>
                <w:color w:val="auto"/>
              </w:rPr>
              <w:t>(14.5 )</w:t>
            </w:r>
          </w:p>
        </w:tc>
        <w:tc>
          <w:tcPr>
            <w:tcW w:w="220" w:type="dxa"/>
            <w:vAlign w:val="bottom"/>
            <w:shd w:val="clear" w:color="auto" w:fill="CCECFF"/>
          </w:tcPr>
          <w:p>
            <w:pPr>
              <w:spacing w:after="0"/>
              <w:rPr>
                <w:sz w:val="21"/>
                <w:szCs w:val="21"/>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(6.4 )</w:t>
            </w:r>
          </w:p>
        </w:tc>
      </w:tr>
      <w:tr>
        <w:trPr>
          <w:trHeight w:val="20"/>
        </w:trPr>
        <w:tc>
          <w:tcPr>
            <w:tcW w:w="61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CEC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Operating income (loss), as reported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(825.8 )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155.6</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(601.1 )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19"/>
                <w:szCs w:val="19"/>
                <w:color w:val="auto"/>
              </w:rPr>
            </w:pPr>
          </w:p>
        </w:tc>
      </w:tr>
      <w:tr>
        <w:trPr>
          <w:trHeight w:val="249"/>
        </w:trPr>
        <w:tc>
          <w:tcPr>
            <w:tcW w:w="6120" w:type="dxa"/>
            <w:vAlign w:val="bottom"/>
            <w:shd w:val="clear" w:color="auto" w:fill="CCECFF"/>
          </w:tcPr>
          <w:p>
            <w:pPr>
              <w:ind w:left="20"/>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CECFF"/>
          </w:tcPr>
          <w:p>
            <w:pPr>
              <w:spacing w:after="0"/>
              <w:rPr>
                <w:sz w:val="21"/>
                <w:szCs w:val="21"/>
                <w:color w:val="auto"/>
              </w:rPr>
            </w:pPr>
          </w:p>
        </w:tc>
        <w:tc>
          <w:tcPr>
            <w:tcW w:w="8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8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6"/>
        </w:trPr>
        <w:tc>
          <w:tcPr>
            <w:tcW w:w="612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329.1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20"/>
                <w:szCs w:val="20"/>
                <w:color w:val="auto"/>
              </w:rPr>
            </w:pPr>
          </w:p>
        </w:tc>
      </w:tr>
      <w:tr>
        <w:trPr>
          <w:trHeight w:val="249"/>
        </w:trPr>
        <w:tc>
          <w:tcPr>
            <w:tcW w:w="61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Restructuring costs, net</w:t>
            </w:r>
          </w:p>
        </w:tc>
        <w:tc>
          <w:tcPr>
            <w:tcW w:w="24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20.4</w:t>
            </w:r>
          </w:p>
        </w:tc>
        <w:tc>
          <w:tcPr>
            <w:tcW w:w="34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51.8</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CFF"/>
          </w:tcPr>
          <w:p>
            <w:pPr>
              <w:spacing w:after="0"/>
              <w:rPr>
                <w:sz w:val="21"/>
                <w:szCs w:val="21"/>
                <w:color w:val="auto"/>
              </w:rPr>
            </w:pPr>
          </w:p>
        </w:tc>
      </w:tr>
      <w:tr>
        <w:trPr>
          <w:trHeight w:val="236"/>
        </w:trPr>
        <w:tc>
          <w:tcPr>
            <w:tcW w:w="6120" w:type="dxa"/>
            <w:vAlign w:val="bottom"/>
          </w:tcPr>
          <w:p>
            <w:pPr>
              <w:ind w:left="200"/>
              <w:spacing w:after="0"/>
              <w:rPr>
                <w:sz w:val="20"/>
                <w:szCs w:val="20"/>
                <w:color w:val="auto"/>
              </w:rPr>
            </w:pPr>
            <w:r>
              <w:rPr>
                <w:rFonts w:ascii="Arial" w:cs="Arial" w:eastAsia="Arial" w:hAnsi="Arial"/>
                <w:sz w:val="18"/>
                <w:szCs w:val="18"/>
                <w:color w:val="auto"/>
              </w:rPr>
              <w:t>Equity-based compensation</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0"/>
                <w:szCs w:val="20"/>
                <w:color w:val="auto"/>
              </w:rPr>
            </w:pPr>
          </w:p>
        </w:tc>
      </w:tr>
      <w:tr>
        <w:trPr>
          <w:trHeight w:val="249"/>
        </w:trPr>
        <w:tc>
          <w:tcPr>
            <w:tcW w:w="61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Asset impairments</w:t>
            </w:r>
          </w:p>
        </w:tc>
        <w:tc>
          <w:tcPr>
            <w:tcW w:w="24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895.1</w:t>
            </w:r>
          </w:p>
        </w:tc>
        <w:tc>
          <w:tcPr>
            <w:tcW w:w="34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00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895.1</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900" w:type="dxa"/>
            <w:vAlign w:val="bottom"/>
            <w:gridSpan w:val="2"/>
            <w:shd w:val="clear" w:color="auto" w:fill="CCECFF"/>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6120" w:type="dxa"/>
            <w:vAlign w:val="bottom"/>
          </w:tcPr>
          <w:p>
            <w:pPr>
              <w:ind w:left="200"/>
              <w:spacing w:after="0"/>
              <w:rPr>
                <w:sz w:val="20"/>
                <w:szCs w:val="20"/>
                <w:color w:val="auto"/>
              </w:rPr>
            </w:pPr>
            <w:r>
              <w:rPr>
                <w:rFonts w:ascii="Arial" w:cs="Arial" w:eastAsia="Arial" w:hAnsi="Arial"/>
                <w:sz w:val="18"/>
                <w:szCs w:val="18"/>
                <w:color w:val="auto"/>
              </w:rPr>
              <w:t>Transaction, transformation and integration costs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r>
      <w:tr>
        <w:trPr>
          <w:trHeight w:val="249"/>
        </w:trPr>
        <w:tc>
          <w:tcPr>
            <w:tcW w:w="61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Acquisition accounting adjustments</w:t>
            </w:r>
          </w:p>
        </w:tc>
        <w:tc>
          <w:tcPr>
            <w:tcW w:w="24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CFF"/>
          </w:tcPr>
          <w:p>
            <w:pPr>
              <w:spacing w:after="0"/>
              <w:rPr>
                <w:sz w:val="21"/>
                <w:szCs w:val="21"/>
                <w:color w:val="auto"/>
              </w:rPr>
            </w:pPr>
          </w:p>
        </w:tc>
      </w:tr>
      <w:tr>
        <w:trPr>
          <w:trHeight w:val="236"/>
        </w:trPr>
        <w:tc>
          <w:tcPr>
            <w:tcW w:w="6120" w:type="dxa"/>
            <w:vAlign w:val="bottom"/>
          </w:tcPr>
          <w:p>
            <w:pPr>
              <w:ind w:left="200"/>
              <w:spacing w:after="0"/>
              <w:rPr>
                <w:sz w:val="20"/>
                <w:szCs w:val="20"/>
                <w:color w:val="auto"/>
              </w:rPr>
            </w:pPr>
            <w:r>
              <w:rPr>
                <w:rFonts w:ascii="Arial" w:cs="Arial" w:eastAsia="Arial" w:hAnsi="Arial"/>
                <w:sz w:val="18"/>
                <w:szCs w:val="18"/>
                <w:color w:val="auto"/>
              </w:rPr>
              <w:t>Patent claims and litigation settlements</w:t>
            </w:r>
          </w:p>
        </w:tc>
        <w:tc>
          <w:tcPr>
            <w:tcW w:w="24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(3.5 )</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(14.5 )</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r>
      <w:tr>
        <w:trPr>
          <w:trHeight w:val="249"/>
        </w:trPr>
        <w:tc>
          <w:tcPr>
            <w:tcW w:w="61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Reserve (recovery) for Russian accounts receivable</w:t>
            </w:r>
          </w:p>
        </w:tc>
        <w:tc>
          <w:tcPr>
            <w:tcW w:w="24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ind w:right="2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CFF"/>
          </w:tcPr>
          <w:p>
            <w:pPr>
              <w:spacing w:after="0"/>
              <w:rPr>
                <w:sz w:val="21"/>
                <w:szCs w:val="21"/>
                <w:color w:val="auto"/>
              </w:rPr>
            </w:pP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(1.1 )</w:t>
            </w:r>
          </w:p>
        </w:tc>
        <w:tc>
          <w:tcPr>
            <w:tcW w:w="220" w:type="dxa"/>
            <w:vAlign w:val="bottom"/>
            <w:shd w:val="clear" w:color="auto" w:fill="CCECFF"/>
          </w:tcPr>
          <w:p>
            <w:pPr>
              <w:spacing w:after="0"/>
              <w:rPr>
                <w:sz w:val="21"/>
                <w:szCs w:val="21"/>
                <w:color w:val="auto"/>
              </w:rPr>
            </w:pPr>
          </w:p>
        </w:tc>
        <w:tc>
          <w:tcPr>
            <w:tcW w:w="1080" w:type="dxa"/>
            <w:vAlign w:val="bottom"/>
            <w:gridSpan w:val="2"/>
            <w:shd w:val="clear" w:color="auto" w:fill="CCECFF"/>
          </w:tcPr>
          <w:p>
            <w:pPr>
              <w:jc w:val="right"/>
              <w:ind w:right="130"/>
              <w:spacing w:after="0"/>
              <w:rPr>
                <w:sz w:val="20"/>
                <w:szCs w:val="20"/>
                <w:color w:val="auto"/>
              </w:rPr>
            </w:pPr>
            <w:r>
              <w:rPr>
                <w:rFonts w:ascii="Arial" w:cs="Arial" w:eastAsia="Arial" w:hAnsi="Arial"/>
                <w:sz w:val="18"/>
                <w:szCs w:val="18"/>
                <w:color w:val="auto"/>
              </w:rPr>
              <w:t>(2.0 )</w:t>
            </w:r>
          </w:p>
        </w:tc>
        <w:tc>
          <w:tcPr>
            <w:tcW w:w="2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CFF"/>
          </w:tcPr>
          <w:p>
            <w:pPr>
              <w:spacing w:after="0"/>
              <w:rPr>
                <w:sz w:val="21"/>
                <w:szCs w:val="21"/>
                <w:color w:val="auto"/>
              </w:rPr>
            </w:pPr>
          </w:p>
        </w:tc>
      </w:tr>
      <w:tr>
        <w:trPr>
          <w:trHeight w:val="236"/>
        </w:trPr>
        <w:tc>
          <w:tcPr>
            <w:tcW w:w="6120" w:type="dxa"/>
            <w:vAlign w:val="bottom"/>
          </w:tcPr>
          <w:p>
            <w:pPr>
              <w:ind w:left="200"/>
              <w:spacing w:after="0"/>
              <w:rPr>
                <w:sz w:val="20"/>
                <w:szCs w:val="20"/>
                <w:color w:val="auto"/>
              </w:rPr>
            </w:pPr>
            <w:r>
              <w:rPr>
                <w:rFonts w:ascii="Arial" w:cs="Arial" w:eastAsia="Arial" w:hAnsi="Arial"/>
                <w:sz w:val="18"/>
                <w:szCs w:val="18"/>
                <w:color w:val="auto"/>
              </w:rPr>
              <w:t>Cyber incident costs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612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auto"/>
            </w:tcBorders>
            <w:shd w:val="clear" w:color="auto" w:fill="CCECFF"/>
          </w:tcPr>
          <w:p>
            <w:pPr>
              <w:spacing w:after="0"/>
              <w:rPr>
                <w:sz w:val="21"/>
                <w:szCs w:val="21"/>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30.7</w:t>
            </w:r>
          </w:p>
        </w:tc>
        <w:tc>
          <w:tcPr>
            <w:tcW w:w="34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spacing w:after="0"/>
              <w:rPr>
                <w:sz w:val="21"/>
                <w:szCs w:val="2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31.8</w:t>
            </w:r>
          </w:p>
        </w:tc>
        <w:tc>
          <w:tcPr>
            <w:tcW w:w="30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spacing w:after="0"/>
              <w:rPr>
                <w:sz w:val="21"/>
                <w:szCs w:val="21"/>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92.7</w:t>
            </w:r>
          </w:p>
        </w:tc>
        <w:tc>
          <w:tcPr>
            <w:tcW w:w="30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spacing w:after="0"/>
              <w:rPr>
                <w:sz w:val="21"/>
                <w:szCs w:val="21"/>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6120" w:type="dxa"/>
            <w:vAlign w:val="bottom"/>
          </w:tcPr>
          <w:p>
            <w:pPr>
              <w:ind w:left="380"/>
              <w:spacing w:after="0"/>
              <w:rPr>
                <w:sz w:val="20"/>
                <w:szCs w:val="20"/>
                <w:color w:val="auto"/>
              </w:rPr>
            </w:pPr>
            <w:r>
              <w:rPr>
                <w:rFonts w:ascii="Arial" w:cs="Arial" w:eastAsia="Arial" w:hAnsi="Arial"/>
                <w:sz w:val="18"/>
                <w:szCs w:val="18"/>
                <w:color w:val="auto"/>
              </w:rPr>
              <w:t>Total adjustments to operating income (loss)</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1,421.3</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655.0</w:t>
            </w:r>
          </w:p>
        </w:tc>
        <w:tc>
          <w:tcPr>
            <w:tcW w:w="100" w:type="dxa"/>
            <w:vAlign w:val="bottom"/>
          </w:tcPr>
          <w:p>
            <w:pPr>
              <w:spacing w:after="0"/>
              <w:rPr>
                <w:sz w:val="20"/>
                <w:szCs w:val="20"/>
                <w:color w:val="auto"/>
              </w:rPr>
            </w:pPr>
          </w:p>
        </w:tc>
      </w:tr>
      <w:tr>
        <w:trPr>
          <w:trHeight w:val="276"/>
        </w:trPr>
        <w:tc>
          <w:tcPr>
            <w:tcW w:w="61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b w:val="1"/>
                <w:bCs w:val="1"/>
                <w:color w:val="auto"/>
              </w:rPr>
              <w:t>Non-GAAP adjusted EBITDA</w:t>
            </w:r>
          </w:p>
        </w:tc>
        <w:tc>
          <w:tcPr>
            <w:tcW w:w="24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248.6</w:t>
            </w:r>
          </w:p>
        </w:tc>
        <w:tc>
          <w:tcPr>
            <w:tcW w:w="340" w:type="dxa"/>
            <w:vAlign w:val="bottom"/>
            <w:tcBorders>
              <w:bottom w:val="single" w:sz="8" w:color="CCECFF"/>
            </w:tcBorders>
            <w:shd w:val="clear" w:color="auto" w:fill="CCECFF"/>
          </w:tcPr>
          <w:p>
            <w:pPr>
              <w:spacing w:after="0"/>
              <w:rPr>
                <w:sz w:val="24"/>
                <w:szCs w:val="24"/>
                <w:color w:val="auto"/>
              </w:rPr>
            </w:pPr>
          </w:p>
        </w:tc>
        <w:tc>
          <w:tcPr>
            <w:tcW w:w="320" w:type="dxa"/>
            <w:vAlign w:val="bottom"/>
            <w:tcBorders>
              <w:bottom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347.6</w:t>
            </w:r>
          </w:p>
        </w:tc>
        <w:tc>
          <w:tcPr>
            <w:tcW w:w="30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820.2</w:t>
            </w:r>
          </w:p>
        </w:tc>
        <w:tc>
          <w:tcPr>
            <w:tcW w:w="30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900.5</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223"/>
        </w:trPr>
        <w:tc>
          <w:tcPr>
            <w:tcW w:w="6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r>
      <w:tr>
        <w:trPr>
          <w:trHeight w:val="243"/>
        </w:trPr>
        <w:tc>
          <w:tcPr>
            <w:tcW w:w="612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Net income (loss), as reported</w:t>
            </w:r>
          </w:p>
        </w:tc>
        <w:tc>
          <w:tcPr>
            <w:tcW w:w="240" w:type="dxa"/>
            <w:vAlign w:val="bottom"/>
            <w:shd w:val="clear" w:color="auto" w:fill="CCEC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CFF"/>
          </w:tcPr>
          <w:p>
            <w:pPr>
              <w:jc w:val="right"/>
              <w:ind w:right="170"/>
              <w:spacing w:after="0"/>
              <w:rPr>
                <w:sz w:val="20"/>
                <w:szCs w:val="20"/>
                <w:color w:val="auto"/>
              </w:rPr>
            </w:pPr>
            <w:r>
              <w:rPr>
                <w:rFonts w:ascii="Arial" w:cs="Arial" w:eastAsia="Arial" w:hAnsi="Arial"/>
                <w:sz w:val="18"/>
                <w:szCs w:val="18"/>
                <w:b w:val="1"/>
                <w:bCs w:val="1"/>
                <w:color w:val="auto"/>
              </w:rPr>
              <w:t>(828.7 )</w:t>
            </w: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22.9</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CFF"/>
          </w:tcPr>
          <w:p>
            <w:pPr>
              <w:jc w:val="right"/>
              <w:ind w:right="130"/>
              <w:spacing w:after="0"/>
              <w:rPr>
                <w:sz w:val="20"/>
                <w:szCs w:val="20"/>
                <w:color w:val="auto"/>
              </w:rPr>
            </w:pPr>
            <w:r>
              <w:rPr>
                <w:rFonts w:ascii="Arial" w:cs="Arial" w:eastAsia="Arial" w:hAnsi="Arial"/>
                <w:sz w:val="18"/>
                <w:szCs w:val="18"/>
                <w:b w:val="1"/>
                <w:bCs w:val="1"/>
                <w:color w:val="auto"/>
              </w:rPr>
              <w:t>(925.7 )</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8"/>
                <w:szCs w:val="18"/>
                <w:b w:val="1"/>
                <w:bCs w:val="1"/>
                <w:color w:val="auto"/>
              </w:rPr>
              <w:t>(178.0 )</w:t>
            </w:r>
          </w:p>
        </w:tc>
      </w:tr>
      <w:tr>
        <w:trPr>
          <w:trHeight w:val="236"/>
        </w:trPr>
        <w:tc>
          <w:tcPr>
            <w:tcW w:w="61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1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Total pretax adjustments to adjusted EBITDA</w:t>
            </w:r>
          </w:p>
        </w:tc>
        <w:tc>
          <w:tcPr>
            <w:tcW w:w="24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1,043.7</w:t>
            </w:r>
          </w:p>
        </w:tc>
        <w:tc>
          <w:tcPr>
            <w:tcW w:w="34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160.2</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1,328.6</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559.5</w:t>
            </w:r>
          </w:p>
        </w:tc>
        <w:tc>
          <w:tcPr>
            <w:tcW w:w="100" w:type="dxa"/>
            <w:vAlign w:val="bottom"/>
            <w:shd w:val="clear" w:color="auto" w:fill="CCECFF"/>
          </w:tcPr>
          <w:p>
            <w:pPr>
              <w:spacing w:after="0"/>
              <w:rPr>
                <w:sz w:val="21"/>
                <w:szCs w:val="21"/>
                <w:color w:val="auto"/>
              </w:rPr>
            </w:pPr>
          </w:p>
        </w:tc>
      </w:tr>
      <w:tr>
        <w:trPr>
          <w:trHeight w:val="243"/>
        </w:trPr>
        <w:tc>
          <w:tcPr>
            <w:tcW w:w="6120" w:type="dxa"/>
            <w:vAlign w:val="bottom"/>
          </w:tcPr>
          <w:p>
            <w:pPr>
              <w:ind w:left="200"/>
              <w:spacing w:after="0" w:line="243" w:lineRule="exact"/>
              <w:rPr>
                <w:sz w:val="20"/>
                <w:szCs w:val="20"/>
                <w:color w:val="auto"/>
              </w:rPr>
            </w:pPr>
            <w:r>
              <w:rPr>
                <w:rFonts w:ascii="Arial" w:cs="Arial" w:eastAsia="Arial" w:hAnsi="Arial"/>
                <w:sz w:val="18"/>
                <w:szCs w:val="18"/>
                <w:color w:val="auto"/>
              </w:rPr>
              <w:t xml:space="preserve">Pretax amortization of debt issuance costs and OID </w:t>
            </w:r>
            <w:r>
              <w:rPr>
                <w:rFonts w:ascii="Arial" w:cs="Arial" w:eastAsia="Arial" w:hAnsi="Arial"/>
                <w:sz w:val="24"/>
                <w:szCs w:val="24"/>
                <w:color w:val="auto"/>
                <w:vertAlign w:val="superscript"/>
              </w:rPr>
              <w:t>(1)</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r>
      <w:tr>
        <w:trPr>
          <w:trHeight w:val="243"/>
        </w:trPr>
        <w:tc>
          <w:tcPr>
            <w:tcW w:w="6120" w:type="dxa"/>
            <w:vAlign w:val="bottom"/>
            <w:shd w:val="clear" w:color="auto" w:fill="CCECFF"/>
          </w:tcPr>
          <w:p>
            <w:pPr>
              <w:ind w:left="200"/>
              <w:spacing w:after="0" w:line="243" w:lineRule="exact"/>
              <w:rPr>
                <w:sz w:val="20"/>
                <w:szCs w:val="20"/>
                <w:color w:val="auto"/>
              </w:rPr>
            </w:pPr>
            <w:r>
              <w:rPr>
                <w:rFonts w:ascii="Arial" w:cs="Arial" w:eastAsia="Arial" w:hAnsi="Arial"/>
                <w:sz w:val="18"/>
                <w:szCs w:val="18"/>
                <w:color w:val="auto"/>
              </w:rPr>
              <w:t xml:space="preserve">Pretax gain on debt transactions </w:t>
            </w:r>
            <w:r>
              <w:rPr>
                <w:rFonts w:ascii="Arial" w:cs="Arial" w:eastAsia="Arial" w:hAnsi="Arial"/>
                <w:sz w:val="24"/>
                <w:szCs w:val="24"/>
                <w:color w:val="auto"/>
                <w:vertAlign w:val="superscript"/>
              </w:rPr>
              <w:t>(2)</w:t>
            </w:r>
          </w:p>
        </w:tc>
        <w:tc>
          <w:tcPr>
            <w:tcW w:w="24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ind w:right="170"/>
              <w:spacing w:after="0"/>
              <w:rPr>
                <w:sz w:val="20"/>
                <w:szCs w:val="20"/>
                <w:color w:val="auto"/>
              </w:rPr>
            </w:pPr>
            <w:r>
              <w:rPr>
                <w:rFonts w:ascii="Arial" w:cs="Arial" w:eastAsia="Arial" w:hAnsi="Arial"/>
                <w:sz w:val="18"/>
                <w:szCs w:val="18"/>
                <w:color w:val="auto"/>
              </w:rPr>
              <w:t>(8.6 )</w:t>
            </w:r>
          </w:p>
        </w:tc>
        <w:tc>
          <w:tcPr>
            <w:tcW w:w="320" w:type="dxa"/>
            <w:vAlign w:val="bottom"/>
            <w:shd w:val="clear" w:color="auto" w:fill="CCECFF"/>
          </w:tcPr>
          <w:p>
            <w:pPr>
              <w:spacing w:after="0"/>
              <w:rPr>
                <w:sz w:val="21"/>
                <w:szCs w:val="21"/>
                <w:color w:val="auto"/>
              </w:rPr>
            </w:pPr>
          </w:p>
        </w:tc>
        <w:tc>
          <w:tcPr>
            <w:tcW w:w="100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21"/>
                <w:szCs w:val="21"/>
                <w:color w:val="auto"/>
              </w:rPr>
            </w:pPr>
          </w:p>
        </w:tc>
        <w:tc>
          <w:tcPr>
            <w:tcW w:w="1080" w:type="dxa"/>
            <w:vAlign w:val="bottom"/>
            <w:gridSpan w:val="2"/>
            <w:shd w:val="clear" w:color="auto" w:fill="CCECFF"/>
          </w:tcPr>
          <w:p>
            <w:pPr>
              <w:jc w:val="right"/>
              <w:ind w:right="130"/>
              <w:spacing w:after="0"/>
              <w:rPr>
                <w:sz w:val="20"/>
                <w:szCs w:val="20"/>
                <w:color w:val="auto"/>
              </w:rPr>
            </w:pPr>
            <w:r>
              <w:rPr>
                <w:rFonts w:ascii="Arial" w:cs="Arial" w:eastAsia="Arial" w:hAnsi="Arial"/>
                <w:sz w:val="18"/>
                <w:szCs w:val="18"/>
                <w:color w:val="auto"/>
              </w:rPr>
              <w:t>(19.1 )</w:t>
            </w:r>
          </w:p>
        </w:tc>
        <w:tc>
          <w:tcPr>
            <w:tcW w:w="220" w:type="dxa"/>
            <w:vAlign w:val="bottom"/>
            <w:shd w:val="clear" w:color="auto" w:fill="CCECFF"/>
          </w:tcPr>
          <w:p>
            <w:pPr>
              <w:spacing w:after="0"/>
              <w:rPr>
                <w:sz w:val="21"/>
                <w:szCs w:val="21"/>
                <w:color w:val="auto"/>
              </w:rPr>
            </w:pPr>
          </w:p>
        </w:tc>
        <w:tc>
          <w:tcPr>
            <w:tcW w:w="900" w:type="dxa"/>
            <w:vAlign w:val="bottom"/>
            <w:gridSpan w:val="2"/>
            <w:shd w:val="clear" w:color="auto" w:fill="CCECFF"/>
          </w:tcPr>
          <w:p>
            <w:pPr>
              <w:jc w:val="right"/>
              <w:ind w:right="41"/>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tcPr>
          <w:p>
            <w:pPr>
              <w:ind w:left="200"/>
              <w:spacing w:after="0" w:line="243" w:lineRule="exact"/>
              <w:rPr>
                <w:sz w:val="20"/>
                <w:szCs w:val="20"/>
                <w:color w:val="auto"/>
              </w:rPr>
            </w:pPr>
            <w:r>
              <w:rPr>
                <w:rFonts w:ascii="Arial" w:cs="Arial" w:eastAsia="Arial" w:hAnsi="Arial"/>
                <w:sz w:val="18"/>
                <w:szCs w:val="18"/>
                <w:color w:val="auto"/>
              </w:rPr>
              <w:t xml:space="preserve">Tax effects of adjustments and other tax items </w:t>
            </w:r>
            <w:r>
              <w:rPr>
                <w:rFonts w:ascii="Arial" w:cs="Arial" w:eastAsia="Arial" w:hAnsi="Arial"/>
                <w:sz w:val="24"/>
                <w:szCs w:val="24"/>
                <w:color w:val="auto"/>
                <w:vertAlign w:val="superscript"/>
              </w:rPr>
              <w:t>(3)</w:t>
            </w:r>
          </w:p>
        </w:tc>
        <w:tc>
          <w:tcPr>
            <w:tcW w:w="240" w:type="dxa"/>
            <w:vAlign w:val="bottom"/>
          </w:tcPr>
          <w:p>
            <w:pPr>
              <w:spacing w:after="0"/>
              <w:rPr>
                <w:sz w:val="21"/>
                <w:szCs w:val="21"/>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(179.1 )</w:t>
            </w:r>
          </w:p>
        </w:tc>
        <w:tc>
          <w:tcPr>
            <w:tcW w:w="32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(64.9 )</w:t>
            </w:r>
          </w:p>
        </w:tc>
        <w:tc>
          <w:tcPr>
            <w:tcW w:w="220" w:type="dxa"/>
            <w:vAlign w:val="bottom"/>
          </w:tcPr>
          <w:p>
            <w:pPr>
              <w:spacing w:after="0"/>
              <w:rPr>
                <w:sz w:val="21"/>
                <w:szCs w:val="21"/>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(234.0 )</w:t>
            </w: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(111.3 )</w:t>
            </w:r>
          </w:p>
        </w:tc>
      </w:tr>
      <w:tr>
        <w:trPr>
          <w:trHeight w:val="276"/>
        </w:trPr>
        <w:tc>
          <w:tcPr>
            <w:tcW w:w="61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b w:val="1"/>
                <w:bCs w:val="1"/>
                <w:color w:val="auto"/>
              </w:rPr>
              <w:t>Non-GAAP adjusted net income</w:t>
            </w:r>
          </w:p>
        </w:tc>
        <w:tc>
          <w:tcPr>
            <w:tcW w:w="24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34.0</w:t>
            </w:r>
          </w:p>
        </w:tc>
        <w:tc>
          <w:tcPr>
            <w:tcW w:w="340" w:type="dxa"/>
            <w:vAlign w:val="bottom"/>
            <w:tcBorders>
              <w:bottom w:val="single" w:sz="8" w:color="CCECFF"/>
            </w:tcBorders>
            <w:shd w:val="clear" w:color="auto" w:fill="CCECFF"/>
          </w:tcPr>
          <w:p>
            <w:pPr>
              <w:spacing w:after="0"/>
              <w:rPr>
                <w:sz w:val="24"/>
                <w:szCs w:val="24"/>
                <w:color w:val="auto"/>
              </w:rPr>
            </w:pPr>
          </w:p>
        </w:tc>
        <w:tc>
          <w:tcPr>
            <w:tcW w:w="320" w:type="dxa"/>
            <w:vAlign w:val="bottom"/>
            <w:tcBorders>
              <w:top w:val="single" w:sz="8" w:color="auto"/>
              <w:bottom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124.6</w:t>
            </w:r>
          </w:p>
        </w:tc>
        <w:tc>
          <w:tcPr>
            <w:tcW w:w="30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170.3</w:t>
            </w:r>
          </w:p>
        </w:tc>
        <w:tc>
          <w:tcPr>
            <w:tcW w:w="30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289.5</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223"/>
        </w:trPr>
        <w:tc>
          <w:tcPr>
            <w:tcW w:w="6120" w:type="dxa"/>
            <w:vAlign w:val="bottom"/>
          </w:tcPr>
          <w:p>
            <w:pPr>
              <w:ind w:left="20"/>
              <w:spacing w:after="0" w:line="224" w:lineRule="exact"/>
              <w:rPr>
                <w:sz w:val="20"/>
                <w:szCs w:val="20"/>
                <w:color w:val="auto"/>
              </w:rPr>
            </w:pPr>
            <w:r>
              <w:rPr>
                <w:rFonts w:ascii="Arial" w:cs="Arial" w:eastAsia="Arial" w:hAnsi="Arial"/>
                <w:sz w:val="18"/>
                <w:szCs w:val="18"/>
                <w:b w:val="1"/>
                <w:bCs w:val="1"/>
                <w:color w:val="auto"/>
              </w:rPr>
              <w:t xml:space="preserve">GAAP EPS, as reported </w:t>
            </w:r>
            <w:r>
              <w:rPr>
                <w:rFonts w:ascii="Arial" w:cs="Arial" w:eastAsia="Arial" w:hAnsi="Arial"/>
                <w:sz w:val="24"/>
                <w:szCs w:val="24"/>
                <w:b w:val="1"/>
                <w:bCs w:val="1"/>
                <w:color w:val="auto"/>
                <w:vertAlign w:val="superscript"/>
              </w:rPr>
              <w:t>(4)</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(3.98 )</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0.04</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(4.62 )</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(1.07 )</w:t>
            </w:r>
          </w:p>
        </w:tc>
      </w:tr>
      <w:tr>
        <w:trPr>
          <w:trHeight w:val="243"/>
        </w:trPr>
        <w:tc>
          <w:tcPr>
            <w:tcW w:w="6120" w:type="dxa"/>
            <w:vAlign w:val="bottom"/>
            <w:shd w:val="clear" w:color="auto" w:fill="CCECFF"/>
          </w:tcPr>
          <w:p>
            <w:pPr>
              <w:ind w:left="20"/>
              <w:spacing w:after="0" w:line="243" w:lineRule="exact"/>
              <w:rPr>
                <w:sz w:val="20"/>
                <w:szCs w:val="20"/>
                <w:color w:val="auto"/>
              </w:rPr>
            </w:pPr>
            <w:r>
              <w:rPr>
                <w:rFonts w:ascii="Arial" w:cs="Arial" w:eastAsia="Arial" w:hAnsi="Arial"/>
                <w:sz w:val="18"/>
                <w:szCs w:val="18"/>
                <w:b w:val="1"/>
                <w:bCs w:val="1"/>
                <w:color w:val="auto"/>
              </w:rPr>
              <w:t xml:space="preserve">Non-GAAP adjusted diluted EPS </w:t>
            </w:r>
            <w:r>
              <w:rPr>
                <w:rFonts w:ascii="Arial" w:cs="Arial" w:eastAsia="Arial" w:hAnsi="Arial"/>
                <w:sz w:val="24"/>
                <w:szCs w:val="24"/>
                <w:b w:val="1"/>
                <w:bCs w:val="1"/>
                <w:color w:val="auto"/>
                <w:vertAlign w:val="superscript"/>
              </w:rPr>
              <w:t>(5)</w:t>
            </w:r>
          </w:p>
        </w:tc>
        <w:tc>
          <w:tcPr>
            <w:tcW w:w="240" w:type="dxa"/>
            <w:vAlign w:val="bottom"/>
            <w:shd w:val="clear" w:color="auto" w:fill="CCEC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0.13</w:t>
            </w:r>
          </w:p>
        </w:tc>
        <w:tc>
          <w:tcPr>
            <w:tcW w:w="340" w:type="dxa"/>
            <w:vAlign w:val="bottom"/>
            <w:shd w:val="clear" w:color="auto" w:fill="CCECFF"/>
          </w:tcPr>
          <w:p>
            <w:pPr>
              <w:spacing w:after="0"/>
              <w:rPr>
                <w:sz w:val="21"/>
                <w:szCs w:val="21"/>
                <w:color w:val="auto"/>
              </w:rPr>
            </w:pP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0.50</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0.67</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-3783965</wp:posOffset>
            </wp:positionV>
            <wp:extent cx="76835"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-3783965</wp:posOffset>
            </wp:positionV>
            <wp:extent cx="68580"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-3783965</wp:posOffset>
            </wp:positionV>
            <wp:extent cx="68580"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-3783965</wp:posOffset>
            </wp:positionV>
            <wp:extent cx="68580"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-1925955</wp:posOffset>
            </wp:positionV>
            <wp:extent cx="7683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-1925955</wp:posOffset>
            </wp:positionV>
            <wp:extent cx="6858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-1925955</wp:posOffset>
            </wp:positionV>
            <wp:extent cx="685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-1925955</wp:posOffset>
            </wp:positionV>
            <wp:extent cx="685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-1600835</wp:posOffset>
            </wp:positionV>
            <wp:extent cx="258572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85720" cy="17970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-333375</wp:posOffset>
            </wp:positionV>
            <wp:extent cx="258572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85720" cy="179705"/>
                    </a:xfrm>
                    <a:prstGeom prst="rect">
                      <a:avLst/>
                    </a:prstGeom>
                    <a:noFill/>
                  </pic:spPr>
                </pic:pic>
              </a:graphicData>
            </a:graphic>
          </wp:anchor>
        </w:drawing>
      </w:r>
    </w:p>
    <w:p>
      <w:pPr>
        <w:spacing w:after="0" w:line="222" w:lineRule="exact"/>
        <w:rPr>
          <w:sz w:val="20"/>
          <w:szCs w:val="20"/>
          <w:color w:val="auto"/>
        </w:rPr>
      </w:pPr>
    </w:p>
    <w:p>
      <w:pPr>
        <w:ind w:left="280" w:hanging="259"/>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in interest expense.</w:t>
      </w:r>
    </w:p>
    <w:p>
      <w:pPr>
        <w:spacing w:after="0" w:line="35" w:lineRule="exact"/>
        <w:rPr>
          <w:rFonts w:ascii="Arial" w:cs="Arial" w:eastAsia="Arial" w:hAnsi="Arial"/>
          <w:sz w:val="18"/>
          <w:szCs w:val="18"/>
          <w:color w:val="auto"/>
        </w:rPr>
      </w:pPr>
    </w:p>
    <w:p>
      <w:pPr>
        <w:ind w:left="280" w:hanging="259"/>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in other income, net.</w:t>
      </w:r>
    </w:p>
    <w:p>
      <w:pPr>
        <w:spacing w:after="0" w:line="35" w:lineRule="exact"/>
        <w:rPr>
          <w:rFonts w:ascii="Arial" w:cs="Arial" w:eastAsia="Arial" w:hAnsi="Arial"/>
          <w:sz w:val="18"/>
          <w:szCs w:val="18"/>
          <w:color w:val="auto"/>
        </w:rPr>
      </w:pPr>
    </w:p>
    <w:p>
      <w:pPr>
        <w:ind w:left="20" w:right="320" w:firstLine="1"/>
        <w:spacing w:after="0" w:line="265" w:lineRule="auto"/>
        <w:tabs>
          <w:tab w:leader="none" w:pos="27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tax rates applied to adjustments reflect the tax expense or benefit based on the tax jurisdiction of the entity generating the adjustment. There are certain items for which we expect little or no tax effect.</w:t>
      </w:r>
    </w:p>
    <w:p>
      <w:pPr>
        <w:spacing w:after="0" w:line="1" w:lineRule="exact"/>
        <w:rPr>
          <w:rFonts w:ascii="Arial" w:cs="Arial" w:eastAsia="Arial" w:hAnsi="Arial"/>
          <w:sz w:val="18"/>
          <w:szCs w:val="18"/>
          <w:color w:val="auto"/>
        </w:rPr>
      </w:pPr>
    </w:p>
    <w:p>
      <w:pPr>
        <w:ind w:left="20" w:right="360" w:firstLine="1"/>
        <w:spacing w:after="0" w:line="265" w:lineRule="auto"/>
        <w:tabs>
          <w:tab w:leader="none" w:pos="274"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all periods presented, GAAP EPS was calculated using net income (loss) attributable to common stockholders in the numerator, which includes the impact of the Series A convertible preferred stock dividend.</w:t>
      </w:r>
    </w:p>
    <w:p>
      <w:pPr>
        <w:spacing w:after="0" w:line="1" w:lineRule="exact"/>
        <w:rPr>
          <w:rFonts w:ascii="Arial" w:cs="Arial" w:eastAsia="Arial" w:hAnsi="Arial"/>
          <w:sz w:val="18"/>
          <w:szCs w:val="18"/>
          <w:color w:val="auto"/>
        </w:rPr>
      </w:pPr>
    </w:p>
    <w:p>
      <w:pPr>
        <w:ind w:left="20" w:right="300" w:firstLine="1"/>
        <w:spacing w:after="0" w:line="341" w:lineRule="auto"/>
        <w:tabs>
          <w:tab w:leader="none" w:pos="274" w:val="left"/>
        </w:tabs>
        <w:numPr>
          <w:ilvl w:val="0"/>
          <w:numId w:val="7"/>
        </w:numPr>
        <w:rPr>
          <w:rFonts w:ascii="Arial" w:cs="Arial" w:eastAsia="Arial" w:hAnsi="Arial"/>
          <w:sz w:val="16"/>
          <w:szCs w:val="16"/>
          <w:color w:val="auto"/>
        </w:rPr>
      </w:pPr>
      <w:r>
        <w:rPr>
          <w:rFonts w:ascii="Arial" w:cs="Arial" w:eastAsia="Arial" w:hAnsi="Arial"/>
          <w:sz w:val="16"/>
          <w:szCs w:val="16"/>
          <w:color w:val="auto"/>
        </w:rPr>
        <w:t>Diluted shares used in the calculation of non-GAAP adjusted diluted EPS are 253.7 million and 250.8 million for the three months ended September 30, 2023 and 2022, respectively, and 253.0 million and 248.6 million for the nine months ended September 30, 2023 and 2022, respectively.</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"Non-GAAP Financial Measures"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by Region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In millions)</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Sales by Region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c>
          <w:tcPr>
            <w:tcW w:w="480" w:type="dxa"/>
            <w:vAlign w:val="bottom"/>
          </w:tcPr>
          <w:p>
            <w:pPr>
              <w:spacing w:after="0"/>
              <w:rPr>
                <w:sz w:val="18"/>
                <w:szCs w:val="18"/>
                <w:color w:val="auto"/>
              </w:rPr>
            </w:pPr>
          </w:p>
        </w:tc>
      </w:tr>
      <w:tr>
        <w:trPr>
          <w:trHeight w:val="242"/>
        </w:trPr>
        <w:tc>
          <w:tcPr>
            <w:tcW w:w="542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Q3 2023</w:t>
            </w:r>
          </w:p>
        </w:tc>
        <w:tc>
          <w:tcPr>
            <w:tcW w:w="56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Q3 2022</w:t>
            </w:r>
          </w:p>
        </w:tc>
        <w:tc>
          <w:tcPr>
            <w:tcW w:w="5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YOY</w:t>
            </w:r>
          </w:p>
        </w:tc>
        <w:tc>
          <w:tcPr>
            <w:tcW w:w="480" w:type="dxa"/>
            <w:vAlign w:val="bottom"/>
            <w:tcBorders>
              <w:bottom w:val="single" w:sz="8" w:color="auto"/>
            </w:tcBorders>
          </w:tcPr>
          <w:p>
            <w:pPr>
              <w:spacing w:after="0"/>
              <w:rPr>
                <w:sz w:val="21"/>
                <w:szCs w:val="21"/>
                <w:color w:val="auto"/>
              </w:rPr>
            </w:pPr>
          </w:p>
        </w:tc>
      </w:tr>
      <w:tr>
        <w:trPr>
          <w:trHeight w:val="243"/>
        </w:trPr>
        <w:tc>
          <w:tcPr>
            <w:tcW w:w="5420" w:type="dxa"/>
            <w:vAlign w:val="bottom"/>
            <w:shd w:val="clear" w:color="auto" w:fill="CCECFF"/>
          </w:tcPr>
          <w:p>
            <w:pPr>
              <w:ind w:left="20"/>
              <w:spacing w:after="0"/>
              <w:rPr>
                <w:sz w:val="20"/>
                <w:szCs w:val="20"/>
                <w:color w:val="auto"/>
              </w:rPr>
            </w:pPr>
            <w:r>
              <w:rPr>
                <w:rFonts w:ascii="Arial" w:cs="Arial" w:eastAsia="Arial" w:hAnsi="Arial"/>
                <w:sz w:val="18"/>
                <w:szCs w:val="18"/>
                <w:color w:val="auto"/>
              </w:rPr>
              <w:t>United States</w:t>
            </w:r>
          </w:p>
        </w:tc>
        <w:tc>
          <w:tcPr>
            <w:tcW w:w="1160" w:type="dxa"/>
            <w:vAlign w:val="bottom"/>
            <w:shd w:val="clear" w:color="auto" w:fill="CCECFF"/>
          </w:tcPr>
          <w:p>
            <w:pPr>
              <w:jc w:val="right"/>
              <w:ind w:right="95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957.4</w:t>
            </w:r>
          </w:p>
        </w:tc>
        <w:tc>
          <w:tcPr>
            <w:tcW w:w="380" w:type="dxa"/>
            <w:vAlign w:val="bottom"/>
            <w:shd w:val="clear" w:color="auto" w:fill="CCECFF"/>
          </w:tcPr>
          <w:p>
            <w:pPr>
              <w:spacing w:after="0"/>
              <w:rPr>
                <w:sz w:val="21"/>
                <w:szCs w:val="21"/>
                <w:color w:val="auto"/>
              </w:rPr>
            </w:pPr>
          </w:p>
        </w:tc>
        <w:tc>
          <w:tcPr>
            <w:tcW w:w="1140" w:type="dxa"/>
            <w:vAlign w:val="bottom"/>
            <w:shd w:val="clear" w:color="auto" w:fill="CCECFF"/>
          </w:tcPr>
          <w:p>
            <w:pPr>
              <w:jc w:val="right"/>
              <w:ind w:right="95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6"/>
              </w:rPr>
              <w:t>1,495.1</w:t>
            </w:r>
          </w:p>
        </w:tc>
        <w:tc>
          <w:tcPr>
            <w:tcW w:w="300" w:type="dxa"/>
            <w:vAlign w:val="bottom"/>
            <w:shd w:val="clear" w:color="auto" w:fill="CCECFF"/>
          </w:tcPr>
          <w:p>
            <w:pPr>
              <w:spacing w:after="0"/>
              <w:rPr>
                <w:sz w:val="21"/>
                <w:szCs w:val="21"/>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(36.0 )</w:t>
            </w:r>
          </w:p>
        </w:tc>
        <w:tc>
          <w:tcPr>
            <w:tcW w:w="480" w:type="dxa"/>
            <w:vAlign w:val="bottom"/>
            <w:shd w:val="clear" w:color="auto" w:fill="CCECFF"/>
          </w:tcPr>
          <w:p>
            <w:pPr>
              <w:jc w:val="right"/>
              <w:ind w:right="210"/>
              <w:spacing w:after="0"/>
              <w:rPr>
                <w:sz w:val="20"/>
                <w:szCs w:val="20"/>
                <w:color w:val="auto"/>
              </w:rPr>
            </w:pPr>
            <w:r>
              <w:rPr>
                <w:rFonts w:ascii="Arial" w:cs="Arial" w:eastAsia="Arial" w:hAnsi="Arial"/>
                <w:sz w:val="18"/>
                <w:szCs w:val="18"/>
                <w:color w:val="auto"/>
                <w:w w:val="99"/>
              </w:rPr>
              <w:t>%</w:t>
            </w:r>
          </w:p>
        </w:tc>
      </w:tr>
      <w:tr>
        <w:trPr>
          <w:trHeight w:val="236"/>
        </w:trPr>
        <w:tc>
          <w:tcPr>
            <w:tcW w:w="542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1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297.8</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396.0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(24.8 )</w:t>
            </w:r>
          </w:p>
        </w:tc>
        <w:tc>
          <w:tcPr>
            <w:tcW w:w="480" w:type="dxa"/>
            <w:vAlign w:val="bottom"/>
          </w:tcPr>
          <w:p>
            <w:pPr>
              <w:spacing w:after="0"/>
              <w:rPr>
                <w:sz w:val="20"/>
                <w:szCs w:val="20"/>
                <w:color w:val="auto"/>
              </w:rPr>
            </w:pPr>
          </w:p>
        </w:tc>
      </w:tr>
      <w:tr>
        <w:trPr>
          <w:trHeight w:val="249"/>
        </w:trPr>
        <w:tc>
          <w:tcPr>
            <w:tcW w:w="5420" w:type="dxa"/>
            <w:vAlign w:val="bottom"/>
            <w:shd w:val="clear" w:color="auto" w:fill="CCECFF"/>
          </w:tcPr>
          <w:p>
            <w:pPr>
              <w:ind w:left="20"/>
              <w:spacing w:after="0"/>
              <w:rPr>
                <w:sz w:val="20"/>
                <w:szCs w:val="20"/>
                <w:color w:val="auto"/>
              </w:rPr>
            </w:pPr>
            <w:r>
              <w:rPr>
                <w:rFonts w:ascii="Arial" w:cs="Arial" w:eastAsia="Arial" w:hAnsi="Arial"/>
                <w:sz w:val="18"/>
                <w:szCs w:val="18"/>
                <w:color w:val="auto"/>
              </w:rPr>
              <w:t>Asia Pacific</w:t>
            </w:r>
          </w:p>
        </w:tc>
        <w:tc>
          <w:tcPr>
            <w:tcW w:w="1160" w:type="dxa"/>
            <w:vAlign w:val="bottom"/>
            <w:shd w:val="clear" w:color="auto" w:fill="CCECFF"/>
          </w:tcPr>
          <w:p>
            <w:pPr>
              <w:spacing w:after="0"/>
              <w:rPr>
                <w:sz w:val="21"/>
                <w:szCs w:val="2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172.2</w:t>
            </w:r>
          </w:p>
        </w:tc>
        <w:tc>
          <w:tcPr>
            <w:tcW w:w="380" w:type="dxa"/>
            <w:vAlign w:val="bottom"/>
            <w:shd w:val="clear" w:color="auto" w:fill="CCECFF"/>
          </w:tcPr>
          <w:p>
            <w:pPr>
              <w:spacing w:after="0"/>
              <w:rPr>
                <w:sz w:val="21"/>
                <w:szCs w:val="21"/>
                <w:color w:val="auto"/>
              </w:rPr>
            </w:pPr>
          </w:p>
        </w:tc>
        <w:tc>
          <w:tcPr>
            <w:tcW w:w="1140" w:type="dxa"/>
            <w:vAlign w:val="bottom"/>
            <w:shd w:val="clear" w:color="auto" w:fill="CCECFF"/>
          </w:tcPr>
          <w:p>
            <w:pPr>
              <w:spacing w:after="0"/>
              <w:rPr>
                <w:sz w:val="21"/>
                <w:szCs w:val="2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210.9</w:t>
            </w:r>
          </w:p>
        </w:tc>
        <w:tc>
          <w:tcPr>
            <w:tcW w:w="15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(18.3 )</w:t>
            </w:r>
          </w:p>
        </w:tc>
        <w:tc>
          <w:tcPr>
            <w:tcW w:w="480" w:type="dxa"/>
            <w:vAlign w:val="bottom"/>
            <w:shd w:val="clear" w:color="auto" w:fill="CCECFF"/>
          </w:tcPr>
          <w:p>
            <w:pPr>
              <w:spacing w:after="0"/>
              <w:rPr>
                <w:sz w:val="21"/>
                <w:szCs w:val="21"/>
                <w:color w:val="auto"/>
              </w:rPr>
            </w:pPr>
          </w:p>
        </w:tc>
      </w:tr>
      <w:tr>
        <w:trPr>
          <w:trHeight w:val="236"/>
        </w:trPr>
        <w:tc>
          <w:tcPr>
            <w:tcW w:w="5420" w:type="dxa"/>
            <w:vAlign w:val="bottom"/>
          </w:tcPr>
          <w:p>
            <w:pPr>
              <w:ind w:left="20"/>
              <w:spacing w:after="0"/>
              <w:rPr>
                <w:sz w:val="20"/>
                <w:szCs w:val="20"/>
                <w:color w:val="auto"/>
              </w:rPr>
            </w:pPr>
            <w:r>
              <w:rPr>
                <w:rFonts w:ascii="Arial" w:cs="Arial" w:eastAsia="Arial" w:hAnsi="Arial"/>
                <w:sz w:val="18"/>
                <w:szCs w:val="18"/>
                <w:color w:val="auto"/>
              </w:rPr>
              <w:t>Caribbean and Latin America</w:t>
            </w:r>
          </w:p>
        </w:tc>
        <w:tc>
          <w:tcPr>
            <w:tcW w:w="1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74.9</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148.6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(49.6 )</w:t>
            </w:r>
          </w:p>
        </w:tc>
        <w:tc>
          <w:tcPr>
            <w:tcW w:w="480" w:type="dxa"/>
            <w:vAlign w:val="bottom"/>
          </w:tcPr>
          <w:p>
            <w:pPr>
              <w:spacing w:after="0"/>
              <w:rPr>
                <w:sz w:val="20"/>
                <w:szCs w:val="20"/>
                <w:color w:val="auto"/>
              </w:rPr>
            </w:pPr>
          </w:p>
        </w:tc>
      </w:tr>
      <w:tr>
        <w:trPr>
          <w:trHeight w:val="249"/>
        </w:trPr>
        <w:tc>
          <w:tcPr>
            <w:tcW w:w="54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Canada</w:t>
            </w:r>
          </w:p>
        </w:tc>
        <w:tc>
          <w:tcPr>
            <w:tcW w:w="1160" w:type="dxa"/>
            <w:vAlign w:val="bottom"/>
            <w:tcBorders>
              <w:bottom w:val="single" w:sz="8" w:color="auto"/>
            </w:tcBorders>
            <w:shd w:val="clear" w:color="auto" w:fill="CCECFF"/>
          </w:tcPr>
          <w:p>
            <w:pPr>
              <w:spacing w:after="0"/>
              <w:rPr>
                <w:sz w:val="21"/>
                <w:szCs w:val="2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97.2</w:t>
            </w:r>
          </w:p>
        </w:tc>
        <w:tc>
          <w:tcPr>
            <w:tcW w:w="380" w:type="dxa"/>
            <w:vAlign w:val="bottom"/>
            <w:tcBorders>
              <w:bottom w:val="single" w:sz="8" w:color="CCECFF"/>
            </w:tcBorders>
            <w:shd w:val="clear" w:color="auto" w:fill="CCECFF"/>
          </w:tcPr>
          <w:p>
            <w:pPr>
              <w:spacing w:after="0"/>
              <w:rPr>
                <w:sz w:val="21"/>
                <w:szCs w:val="21"/>
                <w:color w:val="auto"/>
              </w:rPr>
            </w:pPr>
          </w:p>
        </w:tc>
        <w:tc>
          <w:tcPr>
            <w:tcW w:w="1140" w:type="dxa"/>
            <w:vAlign w:val="bottom"/>
            <w:tcBorders>
              <w:bottom w:val="single" w:sz="8" w:color="auto"/>
            </w:tcBorders>
            <w:shd w:val="clear" w:color="auto" w:fill="CCECFF"/>
          </w:tcPr>
          <w:p>
            <w:pPr>
              <w:spacing w:after="0"/>
              <w:rPr>
                <w:sz w:val="21"/>
                <w:szCs w:val="2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130.8</w:t>
            </w:r>
          </w:p>
        </w:tc>
        <w:tc>
          <w:tcPr>
            <w:tcW w:w="154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8"/>
                <w:szCs w:val="18"/>
                <w:color w:val="auto"/>
              </w:rPr>
              <w:t>(25.7 )</w:t>
            </w:r>
          </w:p>
        </w:tc>
        <w:tc>
          <w:tcPr>
            <w:tcW w:w="480" w:type="dxa"/>
            <w:vAlign w:val="bottom"/>
            <w:tcBorders>
              <w:bottom w:val="single" w:sz="8" w:color="CCECFF"/>
            </w:tcBorders>
            <w:shd w:val="clear" w:color="auto" w:fill="CCECFF"/>
          </w:tcPr>
          <w:p>
            <w:pPr>
              <w:spacing w:after="0"/>
              <w:rPr>
                <w:sz w:val="21"/>
                <w:szCs w:val="21"/>
                <w:color w:val="auto"/>
              </w:rPr>
            </w:pPr>
          </w:p>
        </w:tc>
      </w:tr>
      <w:tr>
        <w:trPr>
          <w:trHeight w:val="236"/>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Total net sales</w:t>
            </w:r>
          </w:p>
        </w:tc>
        <w:tc>
          <w:tcPr>
            <w:tcW w:w="1160" w:type="dxa"/>
            <w:vAlign w:val="bottom"/>
          </w:tcPr>
          <w:p>
            <w:pPr>
              <w:jc w:val="right"/>
              <w:ind w:right="95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1,599.5</w:t>
            </w:r>
          </w:p>
        </w:tc>
        <w:tc>
          <w:tcPr>
            <w:tcW w:w="1520" w:type="dxa"/>
            <w:vAlign w:val="bottom"/>
            <w:gridSpan w:val="2"/>
          </w:tcPr>
          <w:p>
            <w:pPr>
              <w:jc w:val="right"/>
              <w:ind w:right="95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2,381.4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(32.8 )</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r>
      <w:tr>
        <w:trPr>
          <w:trHeight w:val="20"/>
        </w:trPr>
        <w:tc>
          <w:tcPr>
            <w:tcW w:w="5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527"/>
        </w:trPr>
        <w:tc>
          <w:tcPr>
            <w:tcW w:w="54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-547370</wp:posOffset>
            </wp:positionV>
            <wp:extent cx="76835"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-547370</wp:posOffset>
            </wp:positionV>
            <wp:extent cx="6858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Information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In millions)</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Segment Net Sales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center"/>
              <w:ind w:left="312"/>
              <w:spacing w:after="0"/>
              <w:rPr>
                <w:sz w:val="20"/>
                <w:szCs w:val="20"/>
                <w:color w:val="auto"/>
              </w:rPr>
            </w:pPr>
            <w:r>
              <w:rPr>
                <w:rFonts w:ascii="Arial" w:cs="Arial" w:eastAsia="Arial" w:hAnsi="Arial"/>
                <w:sz w:val="16"/>
                <w:szCs w:val="16"/>
                <w:b w:val="1"/>
                <w:bCs w:val="1"/>
                <w:color w:val="auto"/>
                <w:w w:val="93"/>
              </w:rPr>
              <w:t>% Change</w:t>
            </w:r>
          </w:p>
        </w:tc>
        <w:tc>
          <w:tcPr>
            <w:tcW w:w="40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431"/>
              <w:spacing w:after="0"/>
              <w:rPr>
                <w:sz w:val="20"/>
                <w:szCs w:val="20"/>
                <w:color w:val="auto"/>
              </w:rPr>
            </w:pPr>
            <w:r>
              <w:rPr>
                <w:rFonts w:ascii="Arial" w:cs="Arial" w:eastAsia="Arial" w:hAnsi="Arial"/>
                <w:sz w:val="16"/>
                <w:szCs w:val="16"/>
                <w:b w:val="1"/>
                <w:bCs w:val="1"/>
                <w:color w:val="auto"/>
              </w:rPr>
              <w:t>Q3 2023</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rPr>
              <w:t>Q3 2022</w:t>
            </w:r>
          </w:p>
        </w:tc>
        <w:tc>
          <w:tcPr>
            <w:tcW w:w="1160" w:type="dxa"/>
            <w:vAlign w:val="bottom"/>
          </w:tcPr>
          <w:p>
            <w:pPr>
              <w:jc w:val="center"/>
              <w:ind w:left="312"/>
              <w:spacing w:after="0"/>
              <w:rPr>
                <w:sz w:val="20"/>
                <w:szCs w:val="20"/>
                <w:color w:val="auto"/>
              </w:rPr>
            </w:pPr>
            <w:r>
              <w:rPr>
                <w:rFonts w:ascii="Arial" w:cs="Arial" w:eastAsia="Arial" w:hAnsi="Arial"/>
                <w:sz w:val="16"/>
                <w:szCs w:val="16"/>
                <w:b w:val="1"/>
                <w:bCs w:val="1"/>
                <w:color w:val="auto"/>
              </w:rPr>
              <w:t>YOY</w:t>
            </w:r>
          </w:p>
        </w:tc>
        <w:tc>
          <w:tcPr>
            <w:tcW w:w="400" w:type="dxa"/>
            <w:vAlign w:val="bottom"/>
          </w:tcPr>
          <w:p>
            <w:pPr>
              <w:spacing w:after="0"/>
              <w:rPr>
                <w:sz w:val="21"/>
                <w:szCs w:val="21"/>
                <w:color w:val="auto"/>
              </w:rPr>
            </w:pPr>
          </w:p>
        </w:tc>
      </w:tr>
      <w:tr>
        <w:trPr>
          <w:trHeight w:val="243"/>
        </w:trPr>
        <w:tc>
          <w:tcPr>
            <w:tcW w:w="20" w:type="dxa"/>
            <w:vAlign w:val="bottom"/>
            <w:shd w:val="clear" w:color="auto" w:fill="CCECFF"/>
          </w:tcPr>
          <w:p>
            <w:pPr>
              <w:spacing w:after="0"/>
              <w:rPr>
                <w:sz w:val="21"/>
                <w:szCs w:val="21"/>
                <w:color w:val="auto"/>
              </w:rPr>
            </w:pPr>
          </w:p>
        </w:tc>
        <w:tc>
          <w:tcPr>
            <w:tcW w:w="588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CCS</w:t>
            </w: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632.5</w:t>
            </w:r>
          </w:p>
        </w:tc>
        <w:tc>
          <w:tcPr>
            <w:tcW w:w="340" w:type="dxa"/>
            <w:vAlign w:val="bottom"/>
            <w:shd w:val="clear" w:color="auto" w:fill="CCECFF"/>
          </w:tcPr>
          <w:p>
            <w:pPr>
              <w:spacing w:after="0"/>
              <w:rPr>
                <w:sz w:val="21"/>
                <w:szCs w:val="21"/>
                <w:color w:val="auto"/>
              </w:rPr>
            </w:pP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1,007.7</w:t>
            </w:r>
          </w:p>
        </w:tc>
        <w:tc>
          <w:tcPr>
            <w:tcW w:w="280" w:type="dxa"/>
            <w:vAlign w:val="bottom"/>
            <w:shd w:val="clear" w:color="auto" w:fill="CCECFF"/>
          </w:tcPr>
          <w:p>
            <w:pPr>
              <w:spacing w:after="0"/>
              <w:rPr>
                <w:sz w:val="21"/>
                <w:szCs w:val="21"/>
                <w:color w:val="auto"/>
              </w:rPr>
            </w:pPr>
          </w:p>
        </w:tc>
        <w:tc>
          <w:tcPr>
            <w:tcW w:w="1560" w:type="dxa"/>
            <w:vAlign w:val="bottom"/>
            <w:tcBorders>
              <w:top w:val="single" w:sz="8" w:color="auto"/>
            </w:tcBorders>
            <w:gridSpan w:val="2"/>
            <w:shd w:val="clear" w:color="auto" w:fill="CCECFF"/>
          </w:tcPr>
          <w:p>
            <w:pPr>
              <w:jc w:val="right"/>
              <w:ind w:right="170"/>
              <w:spacing w:after="0"/>
              <w:rPr>
                <w:sz w:val="20"/>
                <w:szCs w:val="20"/>
                <w:color w:val="auto"/>
              </w:rPr>
            </w:pPr>
            <w:r>
              <w:rPr>
                <w:rFonts w:ascii="Arial" w:cs="Arial" w:eastAsia="Arial" w:hAnsi="Arial"/>
                <w:sz w:val="18"/>
                <w:szCs w:val="18"/>
                <w:color w:val="auto"/>
              </w:rPr>
              <w:t>(37.2 ) %</w:t>
            </w:r>
          </w:p>
        </w:tc>
      </w:tr>
      <w:tr>
        <w:trPr>
          <w:trHeight w:val="236"/>
        </w:trPr>
        <w:tc>
          <w:tcPr>
            <w:tcW w:w="20" w:type="dxa"/>
            <w:vAlign w:val="bottom"/>
          </w:tcPr>
          <w:p>
            <w:pPr>
              <w:spacing w:after="0"/>
              <w:rPr>
                <w:sz w:val="20"/>
                <w:szCs w:val="20"/>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NICS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289.0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257.9</w:t>
            </w:r>
          </w:p>
        </w:tc>
        <w:tc>
          <w:tcPr>
            <w:tcW w:w="280" w:type="dxa"/>
            <w:vAlign w:val="bottom"/>
          </w:tcPr>
          <w:p>
            <w:pPr>
              <w:spacing w:after="0"/>
              <w:rPr>
                <w:sz w:val="20"/>
                <w:szCs w:val="20"/>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12.1</w:t>
            </w:r>
          </w:p>
        </w:tc>
        <w:tc>
          <w:tcPr>
            <w:tcW w:w="400" w:type="dxa"/>
            <w:vAlign w:val="bottom"/>
          </w:tcPr>
          <w:p>
            <w:pPr>
              <w:spacing w:after="0"/>
              <w:rPr>
                <w:sz w:val="20"/>
                <w:szCs w:val="20"/>
                <w:color w:val="auto"/>
              </w:rPr>
            </w:pPr>
          </w:p>
        </w:tc>
      </w:tr>
      <w:tr>
        <w:trPr>
          <w:trHeight w:val="249"/>
        </w:trPr>
        <w:tc>
          <w:tcPr>
            <w:tcW w:w="20" w:type="dxa"/>
            <w:vAlign w:val="bottom"/>
            <w:shd w:val="clear" w:color="auto" w:fill="CCECFF"/>
          </w:tcPr>
          <w:p>
            <w:pPr>
              <w:spacing w:after="0"/>
              <w:rPr>
                <w:sz w:val="21"/>
                <w:szCs w:val="21"/>
                <w:color w:val="auto"/>
              </w:rPr>
            </w:pPr>
          </w:p>
        </w:tc>
        <w:tc>
          <w:tcPr>
            <w:tcW w:w="588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OWN</w:t>
            </w:r>
          </w:p>
        </w:tc>
        <w:tc>
          <w:tcPr>
            <w:tcW w:w="300" w:type="dxa"/>
            <w:vAlign w:val="bottom"/>
            <w:shd w:val="clear" w:color="auto" w:fill="CCECFF"/>
          </w:tcPr>
          <w:p>
            <w:pPr>
              <w:spacing w:after="0"/>
              <w:rPr>
                <w:sz w:val="21"/>
                <w:szCs w:val="21"/>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210.3</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2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382.1</w:t>
            </w:r>
          </w:p>
        </w:tc>
        <w:tc>
          <w:tcPr>
            <w:tcW w:w="280" w:type="dxa"/>
            <w:vAlign w:val="bottom"/>
            <w:shd w:val="clear" w:color="auto" w:fill="CCECFF"/>
          </w:tcPr>
          <w:p>
            <w:pPr>
              <w:spacing w:after="0"/>
              <w:rPr>
                <w:sz w:val="21"/>
                <w:szCs w:val="21"/>
                <w:color w:val="auto"/>
              </w:rPr>
            </w:pPr>
          </w:p>
        </w:tc>
        <w:tc>
          <w:tcPr>
            <w:tcW w:w="1160" w:type="dxa"/>
            <w:vAlign w:val="bottom"/>
            <w:shd w:val="clear" w:color="auto" w:fill="CCECFF"/>
          </w:tcPr>
          <w:p>
            <w:pPr>
              <w:jc w:val="right"/>
              <w:ind w:right="12"/>
              <w:spacing w:after="0"/>
              <w:rPr>
                <w:sz w:val="20"/>
                <w:szCs w:val="20"/>
                <w:color w:val="auto"/>
              </w:rPr>
            </w:pPr>
            <w:r>
              <w:rPr>
                <w:rFonts w:ascii="Arial" w:cs="Arial" w:eastAsia="Arial" w:hAnsi="Arial"/>
                <w:sz w:val="18"/>
                <w:szCs w:val="18"/>
                <w:color w:val="auto"/>
              </w:rPr>
              <w:t>(45.0 )</w:t>
            </w:r>
          </w:p>
        </w:tc>
        <w:tc>
          <w:tcPr>
            <w:tcW w:w="400" w:type="dxa"/>
            <w:vAlign w:val="bottom"/>
            <w:shd w:val="clear" w:color="auto" w:fill="CCEC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ANS</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(36.2 )</w:t>
            </w:r>
          </w:p>
        </w:tc>
        <w:tc>
          <w:tcPr>
            <w:tcW w:w="400" w:type="dxa"/>
            <w:vAlign w:val="bottom"/>
          </w:tcPr>
          <w:p>
            <w:pPr>
              <w:spacing w:after="0"/>
              <w:rPr>
                <w:sz w:val="21"/>
                <w:szCs w:val="21"/>
                <w:color w:val="auto"/>
              </w:rPr>
            </w:pPr>
          </w:p>
        </w:tc>
      </w:tr>
      <w:tr>
        <w:trPr>
          <w:trHeight w:val="236"/>
        </w:trPr>
        <w:tc>
          <w:tcPr>
            <w:tcW w:w="20" w:type="dxa"/>
            <w:vAlign w:val="bottom"/>
            <w:shd w:val="clear" w:color="auto" w:fill="CCECFF"/>
          </w:tcPr>
          <w:p>
            <w:pPr>
              <w:spacing w:after="0"/>
              <w:rPr>
                <w:sz w:val="20"/>
                <w:szCs w:val="20"/>
                <w:color w:val="auto"/>
              </w:rPr>
            </w:pPr>
          </w:p>
        </w:tc>
        <w:tc>
          <w:tcPr>
            <w:tcW w:w="5880" w:type="dxa"/>
            <w:vAlign w:val="bottom"/>
            <w:gridSpan w:val="2"/>
            <w:shd w:val="clear" w:color="auto" w:fill="CCECFF"/>
          </w:tcPr>
          <w:p>
            <w:pPr>
              <w:ind w:left="140"/>
              <w:spacing w:after="0" w:line="236" w:lineRule="exact"/>
              <w:rPr>
                <w:sz w:val="20"/>
                <w:szCs w:val="20"/>
                <w:color w:val="auto"/>
              </w:rPr>
            </w:pPr>
            <w:r>
              <w:rPr>
                <w:rFonts w:ascii="Arial" w:cs="Arial" w:eastAsia="Arial" w:hAnsi="Arial"/>
                <w:sz w:val="18"/>
                <w:szCs w:val="18"/>
                <w:color w:val="auto"/>
              </w:rPr>
              <w:t xml:space="preserve">Core net sales </w:t>
            </w:r>
            <w:r>
              <w:rPr>
                <w:rFonts w:ascii="Arial" w:cs="Arial" w:eastAsia="Arial" w:hAnsi="Arial"/>
                <w:sz w:val="24"/>
                <w:szCs w:val="24"/>
                <w:color w:val="auto"/>
                <w:vertAlign w:val="superscript"/>
              </w:rPr>
              <w:t>(1)</w:t>
            </w:r>
          </w:p>
        </w:tc>
        <w:tc>
          <w:tcPr>
            <w:tcW w:w="300" w:type="dxa"/>
            <w:vAlign w:val="bottom"/>
            <w:shd w:val="clear" w:color="auto" w:fill="CCECFF"/>
          </w:tcPr>
          <w:p>
            <w:pPr>
              <w:spacing w:after="0"/>
              <w:rPr>
                <w:sz w:val="20"/>
                <w:szCs w:val="20"/>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1,350.1</w:t>
            </w:r>
          </w:p>
        </w:tc>
        <w:tc>
          <w:tcPr>
            <w:tcW w:w="34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2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1,990.0</w:t>
            </w:r>
          </w:p>
        </w:tc>
        <w:tc>
          <w:tcPr>
            <w:tcW w:w="280" w:type="dxa"/>
            <w:vAlign w:val="bottom"/>
            <w:shd w:val="clear" w:color="auto" w:fill="CCECFF"/>
          </w:tcPr>
          <w:p>
            <w:pPr>
              <w:spacing w:after="0"/>
              <w:rPr>
                <w:sz w:val="20"/>
                <w:szCs w:val="20"/>
                <w:color w:val="auto"/>
              </w:rPr>
            </w:pPr>
          </w:p>
        </w:tc>
        <w:tc>
          <w:tcPr>
            <w:tcW w:w="1160" w:type="dxa"/>
            <w:vAlign w:val="bottom"/>
            <w:shd w:val="clear" w:color="auto" w:fill="CCECFF"/>
          </w:tcPr>
          <w:p>
            <w:pPr>
              <w:jc w:val="right"/>
              <w:ind w:right="12"/>
              <w:spacing w:after="0"/>
              <w:rPr>
                <w:sz w:val="20"/>
                <w:szCs w:val="20"/>
                <w:color w:val="auto"/>
              </w:rPr>
            </w:pPr>
            <w:r>
              <w:rPr>
                <w:rFonts w:ascii="Arial" w:cs="Arial" w:eastAsia="Arial" w:hAnsi="Arial"/>
                <w:sz w:val="18"/>
                <w:szCs w:val="18"/>
                <w:color w:val="auto"/>
              </w:rPr>
              <w:t>(32.2 )</w:t>
            </w:r>
          </w:p>
        </w:tc>
        <w:tc>
          <w:tcPr>
            <w:tcW w:w="400" w:type="dxa"/>
            <w:vAlign w:val="bottom"/>
            <w:shd w:val="clear" w:color="auto" w:fill="CCEC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Home</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w:t>
            </w: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(36.3 )</w:t>
            </w:r>
          </w:p>
        </w:tc>
        <w:tc>
          <w:tcPr>
            <w:tcW w:w="400" w:type="dxa"/>
            <w:vAlign w:val="bottom"/>
          </w:tcPr>
          <w:p>
            <w:pPr>
              <w:spacing w:after="0"/>
              <w:rPr>
                <w:sz w:val="21"/>
                <w:szCs w:val="21"/>
                <w:color w:val="auto"/>
              </w:rPr>
            </w:pPr>
          </w:p>
        </w:tc>
      </w:tr>
      <w:tr>
        <w:trPr>
          <w:trHeight w:val="276"/>
        </w:trPr>
        <w:tc>
          <w:tcPr>
            <w:tcW w:w="20" w:type="dxa"/>
            <w:vAlign w:val="bottom"/>
            <w:tcBorders>
              <w:bottom w:val="single" w:sz="8" w:color="CCECFF"/>
            </w:tcBorders>
            <w:shd w:val="clear" w:color="auto" w:fill="CCECFF"/>
          </w:tcPr>
          <w:p>
            <w:pPr>
              <w:spacing w:after="0"/>
              <w:rPr>
                <w:sz w:val="24"/>
                <w:szCs w:val="24"/>
                <w:color w:val="auto"/>
              </w:rPr>
            </w:pPr>
          </w:p>
        </w:tc>
        <w:tc>
          <w:tcPr>
            <w:tcW w:w="588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8"/>
                <w:szCs w:val="18"/>
                <w:b w:val="1"/>
                <w:bCs w:val="1"/>
                <w:color w:val="auto"/>
              </w:rPr>
              <w:t>Total net sales</w:t>
            </w: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1,599.5</w:t>
            </w:r>
          </w:p>
        </w:tc>
        <w:tc>
          <w:tcPr>
            <w:tcW w:w="34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2,381.4</w:t>
            </w:r>
          </w:p>
        </w:tc>
        <w:tc>
          <w:tcPr>
            <w:tcW w:w="280" w:type="dxa"/>
            <w:vAlign w:val="bottom"/>
            <w:tcBorders>
              <w:bottom w:val="single" w:sz="8" w:color="CCECFF"/>
            </w:tcBorders>
            <w:shd w:val="clear" w:color="auto" w:fill="CCECFF"/>
          </w:tcPr>
          <w:p>
            <w:pPr>
              <w:spacing w:after="0"/>
              <w:rPr>
                <w:sz w:val="24"/>
                <w:szCs w:val="24"/>
                <w:color w:val="auto"/>
              </w:rPr>
            </w:pPr>
          </w:p>
        </w:tc>
        <w:tc>
          <w:tcPr>
            <w:tcW w:w="1160" w:type="dxa"/>
            <w:vAlign w:val="bottom"/>
            <w:tcBorders>
              <w:bottom w:val="single" w:sz="8" w:color="CCECFF"/>
            </w:tcBorders>
            <w:shd w:val="clear" w:color="auto" w:fill="CCECFF"/>
          </w:tcPr>
          <w:p>
            <w:pPr>
              <w:jc w:val="right"/>
              <w:ind w:right="12"/>
              <w:spacing w:after="0"/>
              <w:rPr>
                <w:sz w:val="20"/>
                <w:szCs w:val="20"/>
                <w:color w:val="auto"/>
              </w:rPr>
            </w:pPr>
            <w:r>
              <w:rPr>
                <w:rFonts w:ascii="Arial" w:cs="Arial" w:eastAsia="Arial" w:hAnsi="Arial"/>
                <w:sz w:val="18"/>
                <w:szCs w:val="18"/>
                <w:color w:val="auto"/>
              </w:rPr>
              <w:t>(32.8 )</w:t>
            </w:r>
          </w:p>
        </w:tc>
        <w:tc>
          <w:tcPr>
            <w:tcW w:w="400" w:type="dxa"/>
            <w:vAlign w:val="bottom"/>
            <w:tcBorders>
              <w:bottom w:val="single" w:sz="8" w:color="CCECFF"/>
            </w:tcBorders>
            <w:shd w:val="clear" w:color="auto" w:fill="CCECFF"/>
          </w:tcPr>
          <w:p>
            <w:pPr>
              <w:jc w:val="right"/>
              <w:ind w:right="170"/>
              <w:spacing w:after="0"/>
              <w:rPr>
                <w:sz w:val="20"/>
                <w:szCs w:val="20"/>
                <w:color w:val="auto"/>
              </w:rPr>
            </w:pPr>
            <w:r>
              <w:rPr>
                <w:rFonts w:ascii="Arial" w:cs="Arial" w:eastAsia="Arial" w:hAnsi="Arial"/>
                <w:sz w:val="18"/>
                <w:szCs w:val="18"/>
                <w:color w:val="auto"/>
                <w:w w:val="74"/>
              </w:rPr>
              <w:t>%</w:t>
            </w:r>
          </w:p>
        </w:tc>
      </w:tr>
      <w:tr>
        <w:trPr>
          <w:trHeight w:val="412"/>
        </w:trPr>
        <w:tc>
          <w:tcPr>
            <w:tcW w:w="2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Segment Adjusted EBITDA </w:t>
            </w:r>
            <w:r>
              <w:rPr>
                <w:rFonts w:ascii="Arial" w:cs="Arial" w:eastAsia="Arial" w:hAnsi="Arial"/>
                <w:sz w:val="24"/>
                <w:szCs w:val="24"/>
                <w:b w:val="1"/>
                <w:bCs w:val="1"/>
                <w:color w:val="auto"/>
                <w:vertAlign w:val="superscript"/>
              </w:rPr>
              <w:t>(2)</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2180" w:type="dxa"/>
            <w:vAlign w:val="bottom"/>
            <w:tcBorders>
              <w:top w:val="single" w:sz="8" w:color="auto"/>
            </w:tcBorders>
          </w:tcPr>
          <w:p>
            <w:pPr>
              <w:spacing w:after="0"/>
              <w:rPr>
                <w:sz w:val="21"/>
                <w:szCs w:val="21"/>
                <w:color w:val="auto"/>
              </w:rPr>
            </w:pPr>
          </w:p>
        </w:tc>
        <w:tc>
          <w:tcPr>
            <w:tcW w:w="3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center"/>
              <w:ind w:left="312"/>
              <w:spacing w:after="0"/>
              <w:rPr>
                <w:sz w:val="20"/>
                <w:szCs w:val="20"/>
                <w:color w:val="auto"/>
              </w:rPr>
            </w:pPr>
            <w:r>
              <w:rPr>
                <w:rFonts w:ascii="Arial" w:cs="Arial" w:eastAsia="Arial" w:hAnsi="Arial"/>
                <w:sz w:val="16"/>
                <w:szCs w:val="16"/>
                <w:b w:val="1"/>
                <w:bCs w:val="1"/>
                <w:color w:val="auto"/>
                <w:w w:val="93"/>
              </w:rPr>
              <w:t>% Change</w:t>
            </w:r>
          </w:p>
        </w:tc>
        <w:tc>
          <w:tcPr>
            <w:tcW w:w="400" w:type="dxa"/>
            <w:vAlign w:val="bottom"/>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431"/>
              <w:spacing w:after="0"/>
              <w:rPr>
                <w:sz w:val="20"/>
                <w:szCs w:val="20"/>
                <w:color w:val="auto"/>
              </w:rPr>
            </w:pPr>
            <w:r>
              <w:rPr>
                <w:rFonts w:ascii="Arial" w:cs="Arial" w:eastAsia="Arial" w:hAnsi="Arial"/>
                <w:sz w:val="16"/>
                <w:szCs w:val="16"/>
                <w:b w:val="1"/>
                <w:bCs w:val="1"/>
                <w:color w:val="auto"/>
              </w:rPr>
              <w:t>Q3 2023</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rPr>
              <w:t>Q3 2022</w:t>
            </w:r>
          </w:p>
        </w:tc>
        <w:tc>
          <w:tcPr>
            <w:tcW w:w="1160" w:type="dxa"/>
            <w:vAlign w:val="bottom"/>
          </w:tcPr>
          <w:p>
            <w:pPr>
              <w:jc w:val="center"/>
              <w:ind w:left="312"/>
              <w:spacing w:after="0"/>
              <w:rPr>
                <w:sz w:val="20"/>
                <w:szCs w:val="20"/>
                <w:color w:val="auto"/>
              </w:rPr>
            </w:pPr>
            <w:r>
              <w:rPr>
                <w:rFonts w:ascii="Arial" w:cs="Arial" w:eastAsia="Arial" w:hAnsi="Arial"/>
                <w:sz w:val="16"/>
                <w:szCs w:val="16"/>
                <w:b w:val="1"/>
                <w:bCs w:val="1"/>
                <w:color w:val="auto"/>
              </w:rPr>
              <w:t>YOY</w:t>
            </w:r>
          </w:p>
        </w:tc>
        <w:tc>
          <w:tcPr>
            <w:tcW w:w="400" w:type="dxa"/>
            <w:vAlign w:val="bottom"/>
          </w:tcPr>
          <w:p>
            <w:pPr>
              <w:spacing w:after="0"/>
              <w:rPr>
                <w:sz w:val="21"/>
                <w:szCs w:val="21"/>
                <w:color w:val="auto"/>
              </w:rPr>
            </w:pPr>
          </w:p>
        </w:tc>
      </w:tr>
      <w:tr>
        <w:trPr>
          <w:trHeight w:val="243"/>
        </w:trPr>
        <w:tc>
          <w:tcPr>
            <w:tcW w:w="20" w:type="dxa"/>
            <w:vAlign w:val="bottom"/>
            <w:shd w:val="clear" w:color="auto" w:fill="CCECFF"/>
          </w:tcPr>
          <w:p>
            <w:pPr>
              <w:spacing w:after="0"/>
              <w:rPr>
                <w:sz w:val="21"/>
                <w:szCs w:val="21"/>
                <w:color w:val="auto"/>
              </w:rPr>
            </w:pPr>
          </w:p>
        </w:tc>
        <w:tc>
          <w:tcPr>
            <w:tcW w:w="588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CCS</w:t>
            </w: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78.7</w:t>
            </w:r>
          </w:p>
        </w:tc>
        <w:tc>
          <w:tcPr>
            <w:tcW w:w="340" w:type="dxa"/>
            <w:vAlign w:val="bottom"/>
            <w:shd w:val="clear" w:color="auto" w:fill="CCECFF"/>
          </w:tcPr>
          <w:p>
            <w:pPr>
              <w:spacing w:after="0"/>
              <w:rPr>
                <w:sz w:val="21"/>
                <w:szCs w:val="21"/>
                <w:color w:val="auto"/>
              </w:rPr>
            </w:pP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188.2</w:t>
            </w:r>
          </w:p>
        </w:tc>
        <w:tc>
          <w:tcPr>
            <w:tcW w:w="280" w:type="dxa"/>
            <w:vAlign w:val="bottom"/>
            <w:shd w:val="clear" w:color="auto" w:fill="CCECFF"/>
          </w:tcPr>
          <w:p>
            <w:pPr>
              <w:spacing w:after="0"/>
              <w:rPr>
                <w:sz w:val="21"/>
                <w:szCs w:val="21"/>
                <w:color w:val="auto"/>
              </w:rPr>
            </w:pPr>
          </w:p>
        </w:tc>
        <w:tc>
          <w:tcPr>
            <w:tcW w:w="1560" w:type="dxa"/>
            <w:vAlign w:val="bottom"/>
            <w:tcBorders>
              <w:top w:val="single" w:sz="8" w:color="auto"/>
            </w:tcBorders>
            <w:gridSpan w:val="2"/>
            <w:shd w:val="clear" w:color="auto" w:fill="CCECFF"/>
          </w:tcPr>
          <w:p>
            <w:pPr>
              <w:jc w:val="right"/>
              <w:ind w:right="170"/>
              <w:spacing w:after="0"/>
              <w:rPr>
                <w:sz w:val="20"/>
                <w:szCs w:val="20"/>
                <w:color w:val="auto"/>
              </w:rPr>
            </w:pPr>
            <w:r>
              <w:rPr>
                <w:rFonts w:ascii="Arial" w:cs="Arial" w:eastAsia="Arial" w:hAnsi="Arial"/>
                <w:sz w:val="18"/>
                <w:szCs w:val="18"/>
                <w:color w:val="auto"/>
              </w:rPr>
              <w:t>(58.2 ) %</w:t>
            </w:r>
          </w:p>
        </w:tc>
      </w:tr>
      <w:tr>
        <w:trPr>
          <w:trHeight w:val="236"/>
        </w:trPr>
        <w:tc>
          <w:tcPr>
            <w:tcW w:w="20" w:type="dxa"/>
            <w:vAlign w:val="bottom"/>
          </w:tcPr>
          <w:p>
            <w:pPr>
              <w:spacing w:after="0"/>
              <w:rPr>
                <w:sz w:val="20"/>
                <w:szCs w:val="20"/>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NICS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24.7</w:t>
            </w:r>
          </w:p>
        </w:tc>
        <w:tc>
          <w:tcPr>
            <w:tcW w:w="280" w:type="dxa"/>
            <w:vAlign w:val="bottom"/>
          </w:tcPr>
          <w:p>
            <w:pPr>
              <w:spacing w:after="0"/>
              <w:rPr>
                <w:sz w:val="20"/>
                <w:szCs w:val="20"/>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155.1</w:t>
            </w:r>
          </w:p>
        </w:tc>
        <w:tc>
          <w:tcPr>
            <w:tcW w:w="400" w:type="dxa"/>
            <w:vAlign w:val="bottom"/>
          </w:tcPr>
          <w:p>
            <w:pPr>
              <w:spacing w:after="0"/>
              <w:rPr>
                <w:sz w:val="20"/>
                <w:szCs w:val="20"/>
                <w:color w:val="auto"/>
              </w:rPr>
            </w:pPr>
          </w:p>
        </w:tc>
      </w:tr>
      <w:tr>
        <w:trPr>
          <w:trHeight w:val="249"/>
        </w:trPr>
        <w:tc>
          <w:tcPr>
            <w:tcW w:w="20" w:type="dxa"/>
            <w:vAlign w:val="bottom"/>
            <w:shd w:val="clear" w:color="auto" w:fill="CCECFF"/>
          </w:tcPr>
          <w:p>
            <w:pPr>
              <w:spacing w:after="0"/>
              <w:rPr>
                <w:sz w:val="21"/>
                <w:szCs w:val="21"/>
                <w:color w:val="auto"/>
              </w:rPr>
            </w:pPr>
          </w:p>
        </w:tc>
        <w:tc>
          <w:tcPr>
            <w:tcW w:w="588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OWN</w:t>
            </w:r>
          </w:p>
        </w:tc>
        <w:tc>
          <w:tcPr>
            <w:tcW w:w="300" w:type="dxa"/>
            <w:vAlign w:val="bottom"/>
            <w:shd w:val="clear" w:color="auto" w:fill="CCECFF"/>
          </w:tcPr>
          <w:p>
            <w:pPr>
              <w:spacing w:after="0"/>
              <w:rPr>
                <w:sz w:val="21"/>
                <w:szCs w:val="21"/>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45.3</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2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82.2</w:t>
            </w:r>
          </w:p>
        </w:tc>
        <w:tc>
          <w:tcPr>
            <w:tcW w:w="280" w:type="dxa"/>
            <w:vAlign w:val="bottom"/>
            <w:shd w:val="clear" w:color="auto" w:fill="CCECFF"/>
          </w:tcPr>
          <w:p>
            <w:pPr>
              <w:spacing w:after="0"/>
              <w:rPr>
                <w:sz w:val="21"/>
                <w:szCs w:val="21"/>
                <w:color w:val="auto"/>
              </w:rPr>
            </w:pPr>
          </w:p>
        </w:tc>
        <w:tc>
          <w:tcPr>
            <w:tcW w:w="1160" w:type="dxa"/>
            <w:vAlign w:val="bottom"/>
            <w:shd w:val="clear" w:color="auto" w:fill="CCECFF"/>
          </w:tcPr>
          <w:p>
            <w:pPr>
              <w:jc w:val="right"/>
              <w:ind w:right="12"/>
              <w:spacing w:after="0"/>
              <w:rPr>
                <w:sz w:val="20"/>
                <w:szCs w:val="20"/>
                <w:color w:val="auto"/>
              </w:rPr>
            </w:pPr>
            <w:r>
              <w:rPr>
                <w:rFonts w:ascii="Arial" w:cs="Arial" w:eastAsia="Arial" w:hAnsi="Arial"/>
                <w:sz w:val="18"/>
                <w:szCs w:val="18"/>
                <w:color w:val="auto"/>
              </w:rPr>
              <w:t>(44.9 )</w:t>
            </w:r>
          </w:p>
        </w:tc>
        <w:tc>
          <w:tcPr>
            <w:tcW w:w="400" w:type="dxa"/>
            <w:vAlign w:val="bottom"/>
            <w:shd w:val="clear" w:color="auto" w:fill="CCEC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ANS</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2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1"/>
                <w:szCs w:val="21"/>
                <w:color w:val="auto"/>
              </w:rPr>
            </w:pPr>
          </w:p>
        </w:tc>
      </w:tr>
      <w:tr>
        <w:trPr>
          <w:trHeight w:val="236"/>
        </w:trPr>
        <w:tc>
          <w:tcPr>
            <w:tcW w:w="20" w:type="dxa"/>
            <w:vAlign w:val="bottom"/>
            <w:shd w:val="clear" w:color="auto" w:fill="CCECFF"/>
          </w:tcPr>
          <w:p>
            <w:pPr>
              <w:spacing w:after="0"/>
              <w:rPr>
                <w:sz w:val="20"/>
                <w:szCs w:val="20"/>
                <w:color w:val="auto"/>
              </w:rPr>
            </w:pPr>
          </w:p>
        </w:tc>
        <w:tc>
          <w:tcPr>
            <w:tcW w:w="5880" w:type="dxa"/>
            <w:vAlign w:val="bottom"/>
            <w:gridSpan w:val="2"/>
            <w:shd w:val="clear" w:color="auto" w:fill="CCECFF"/>
          </w:tcPr>
          <w:p>
            <w:pPr>
              <w:ind w:left="140"/>
              <w:spacing w:after="0" w:line="236" w:lineRule="exact"/>
              <w:rPr>
                <w:sz w:val="20"/>
                <w:szCs w:val="20"/>
                <w:color w:val="auto"/>
              </w:rPr>
            </w:pPr>
            <w:r>
              <w:rPr>
                <w:rFonts w:ascii="Arial" w:cs="Arial" w:eastAsia="Arial" w:hAnsi="Arial"/>
                <w:sz w:val="18"/>
                <w:szCs w:val="18"/>
                <w:color w:val="auto"/>
              </w:rPr>
              <w:t xml:space="preserve">Core adjusted EBITDA </w:t>
            </w:r>
            <w:r>
              <w:rPr>
                <w:rFonts w:ascii="Arial" w:cs="Arial" w:eastAsia="Arial" w:hAnsi="Arial"/>
                <w:sz w:val="24"/>
                <w:szCs w:val="24"/>
                <w:color w:val="auto"/>
                <w:vertAlign w:val="superscript"/>
              </w:rPr>
              <w:t>(1)</w:t>
            </w:r>
          </w:p>
        </w:tc>
        <w:tc>
          <w:tcPr>
            <w:tcW w:w="300" w:type="dxa"/>
            <w:vAlign w:val="bottom"/>
            <w:shd w:val="clear" w:color="auto" w:fill="CCECFF"/>
          </w:tcPr>
          <w:p>
            <w:pPr>
              <w:spacing w:after="0"/>
              <w:rPr>
                <w:sz w:val="20"/>
                <w:szCs w:val="20"/>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245.5</w:t>
            </w:r>
          </w:p>
        </w:tc>
        <w:tc>
          <w:tcPr>
            <w:tcW w:w="34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2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352.9</w:t>
            </w:r>
          </w:p>
        </w:tc>
        <w:tc>
          <w:tcPr>
            <w:tcW w:w="280" w:type="dxa"/>
            <w:vAlign w:val="bottom"/>
            <w:shd w:val="clear" w:color="auto" w:fill="CCECFF"/>
          </w:tcPr>
          <w:p>
            <w:pPr>
              <w:spacing w:after="0"/>
              <w:rPr>
                <w:sz w:val="20"/>
                <w:szCs w:val="20"/>
                <w:color w:val="auto"/>
              </w:rPr>
            </w:pPr>
          </w:p>
        </w:tc>
        <w:tc>
          <w:tcPr>
            <w:tcW w:w="1160" w:type="dxa"/>
            <w:vAlign w:val="bottom"/>
            <w:shd w:val="clear" w:color="auto" w:fill="CCECFF"/>
          </w:tcPr>
          <w:p>
            <w:pPr>
              <w:jc w:val="right"/>
              <w:ind w:right="12"/>
              <w:spacing w:after="0"/>
              <w:rPr>
                <w:sz w:val="20"/>
                <w:szCs w:val="20"/>
                <w:color w:val="auto"/>
              </w:rPr>
            </w:pPr>
            <w:r>
              <w:rPr>
                <w:rFonts w:ascii="Arial" w:cs="Arial" w:eastAsia="Arial" w:hAnsi="Arial"/>
                <w:sz w:val="18"/>
                <w:szCs w:val="18"/>
                <w:color w:val="auto"/>
              </w:rPr>
              <w:t>(30.4 )</w:t>
            </w:r>
          </w:p>
        </w:tc>
        <w:tc>
          <w:tcPr>
            <w:tcW w:w="400" w:type="dxa"/>
            <w:vAlign w:val="bottom"/>
            <w:shd w:val="clear" w:color="auto" w:fill="CCEC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Home</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(5.3 )</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NM</w:t>
            </w:r>
          </w:p>
        </w:tc>
        <w:tc>
          <w:tcPr>
            <w:tcW w:w="400" w:type="dxa"/>
            <w:vAlign w:val="bottom"/>
          </w:tcPr>
          <w:p>
            <w:pPr>
              <w:spacing w:after="0"/>
              <w:rPr>
                <w:sz w:val="21"/>
                <w:szCs w:val="21"/>
                <w:color w:val="auto"/>
              </w:rPr>
            </w:pPr>
          </w:p>
        </w:tc>
      </w:tr>
      <w:tr>
        <w:trPr>
          <w:trHeight w:val="276"/>
        </w:trPr>
        <w:tc>
          <w:tcPr>
            <w:tcW w:w="20" w:type="dxa"/>
            <w:vAlign w:val="bottom"/>
            <w:tcBorders>
              <w:bottom w:val="single" w:sz="8" w:color="CCECFF"/>
            </w:tcBorders>
            <w:shd w:val="clear" w:color="auto" w:fill="CCECFF"/>
          </w:tcPr>
          <w:p>
            <w:pPr>
              <w:spacing w:after="0"/>
              <w:rPr>
                <w:sz w:val="24"/>
                <w:szCs w:val="24"/>
                <w:color w:val="auto"/>
              </w:rPr>
            </w:pPr>
          </w:p>
        </w:tc>
        <w:tc>
          <w:tcPr>
            <w:tcW w:w="588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8"/>
                <w:szCs w:val="18"/>
                <w:b w:val="1"/>
                <w:bCs w:val="1"/>
                <w:color w:val="auto"/>
              </w:rPr>
              <w:t>Total segment adjusted EBITDA</w:t>
            </w: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248.6</w:t>
            </w:r>
          </w:p>
        </w:tc>
        <w:tc>
          <w:tcPr>
            <w:tcW w:w="34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347.6</w:t>
            </w:r>
          </w:p>
        </w:tc>
        <w:tc>
          <w:tcPr>
            <w:tcW w:w="280" w:type="dxa"/>
            <w:vAlign w:val="bottom"/>
            <w:tcBorders>
              <w:bottom w:val="single" w:sz="8" w:color="CCECFF"/>
            </w:tcBorders>
            <w:shd w:val="clear" w:color="auto" w:fill="CCECFF"/>
          </w:tcPr>
          <w:p>
            <w:pPr>
              <w:spacing w:after="0"/>
              <w:rPr>
                <w:sz w:val="24"/>
                <w:szCs w:val="24"/>
                <w:color w:val="auto"/>
              </w:rPr>
            </w:pPr>
          </w:p>
        </w:tc>
        <w:tc>
          <w:tcPr>
            <w:tcW w:w="1160" w:type="dxa"/>
            <w:vAlign w:val="bottom"/>
            <w:tcBorders>
              <w:bottom w:val="single" w:sz="8" w:color="CCECFF"/>
            </w:tcBorders>
            <w:shd w:val="clear" w:color="auto" w:fill="CCECFF"/>
          </w:tcPr>
          <w:p>
            <w:pPr>
              <w:jc w:val="right"/>
              <w:ind w:right="12"/>
              <w:spacing w:after="0"/>
              <w:rPr>
                <w:sz w:val="20"/>
                <w:szCs w:val="20"/>
                <w:color w:val="auto"/>
              </w:rPr>
            </w:pPr>
            <w:r>
              <w:rPr>
                <w:rFonts w:ascii="Arial" w:cs="Arial" w:eastAsia="Arial" w:hAnsi="Arial"/>
                <w:sz w:val="18"/>
                <w:szCs w:val="18"/>
                <w:color w:val="auto"/>
              </w:rPr>
              <w:t>(28.5 )</w:t>
            </w:r>
          </w:p>
        </w:tc>
        <w:tc>
          <w:tcPr>
            <w:tcW w:w="400" w:type="dxa"/>
            <w:vAlign w:val="bottom"/>
            <w:tcBorders>
              <w:bottom w:val="single" w:sz="8" w:color="CCECFF"/>
            </w:tcBorders>
            <w:shd w:val="clear" w:color="auto" w:fill="CCECFF"/>
          </w:tcPr>
          <w:p>
            <w:pPr>
              <w:jc w:val="right"/>
              <w:ind w:right="170"/>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-1754505</wp:posOffset>
            </wp:positionV>
            <wp:extent cx="1284605"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4605" cy="17970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-24765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-7620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0" w:right="580" w:firstLine="1"/>
        <w:spacing w:after="0" w:line="265" w:lineRule="auto"/>
        <w:tabs>
          <w:tab w:leader="none" w:pos="274"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“Core” financial measures reflect the results of the CCS, NICS, OWN and ANS segments, in the aggregate, and exclude the results of the Home segment.</w:t>
      </w:r>
    </w:p>
    <w:p>
      <w:pPr>
        <w:ind w:left="280" w:hanging="259"/>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"Non-GAAP Financial Measures"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sectPr>
      </w:pPr>
    </w:p>
    <w:bookmarkStart w:id="15" w:name="page16"/>
    <w:bookmarkEnd w:id="15"/>
    <w:p>
      <w:pPr>
        <w:jc w:val="center"/>
        <w:ind w:right="160"/>
        <w:spacing w:after="0"/>
        <w:rPr>
          <w:sz w:val="20"/>
          <w:szCs w:val="20"/>
          <w:color w:val="auto"/>
        </w:rPr>
      </w:pPr>
      <w:r>
        <w:rPr>
          <w:rFonts w:ascii="Arial" w:cs="Arial" w:eastAsia="Arial" w:hAnsi="Arial"/>
          <w:sz w:val="16"/>
          <w:szCs w:val="16"/>
          <w:b w:val="1"/>
          <w:bCs w:val="1"/>
          <w:color w:val="auto"/>
        </w:rPr>
        <w:t>CommScope Holding Company, Inc.</w:t>
      </w:r>
    </w:p>
    <w:p>
      <w:pPr>
        <w:spacing w:after="0" w:line="45"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Reconciliation of GAAP to Segment Adjusted EBITDA</w:t>
      </w:r>
    </w:p>
    <w:p>
      <w:pPr>
        <w:spacing w:after="0" w:line="45"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(Unaudited --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6"/>
                <w:szCs w:val="16"/>
                <w:b w:val="1"/>
                <w:bCs w:val="1"/>
                <w:color w:val="auto"/>
                <w:w w:val="98"/>
              </w:rPr>
              <w:t>Third Quarter 2023 Segment Adjusted EBITDA Reconciliation</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486"/>
        </w:trPr>
        <w:tc>
          <w:tcPr>
            <w:tcW w:w="20" w:type="dxa"/>
            <w:vAlign w:val="bottom"/>
          </w:tcPr>
          <w:p>
            <w:pPr>
              <w:spacing w:after="0"/>
              <w:rPr>
                <w:sz w:val="24"/>
                <w:szCs w:val="24"/>
                <w:color w:val="auto"/>
              </w:rPr>
            </w:pPr>
          </w:p>
        </w:tc>
        <w:tc>
          <w:tcPr>
            <w:tcW w:w="43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CCS</w:t>
            </w:r>
          </w:p>
        </w:tc>
        <w:tc>
          <w:tcPr>
            <w:tcW w:w="200" w:type="dxa"/>
            <w:vAlign w:val="bottom"/>
          </w:tcPr>
          <w:p>
            <w:pPr>
              <w:spacing w:after="0"/>
              <w:rPr>
                <w:sz w:val="24"/>
                <w:szCs w:val="2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NICS</w:t>
            </w:r>
          </w:p>
        </w:tc>
        <w:tc>
          <w:tcPr>
            <w:tcW w:w="180" w:type="dxa"/>
            <w:vAlign w:val="bottom"/>
          </w:tcPr>
          <w:p>
            <w:pPr>
              <w:spacing w:after="0"/>
              <w:rPr>
                <w:sz w:val="24"/>
                <w:szCs w:val="2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OWN</w:t>
            </w:r>
          </w:p>
        </w:tc>
        <w:tc>
          <w:tcPr>
            <w:tcW w:w="200" w:type="dxa"/>
            <w:vAlign w:val="bottom"/>
          </w:tcPr>
          <w:p>
            <w:pPr>
              <w:spacing w:after="0"/>
              <w:rPr>
                <w:sz w:val="24"/>
                <w:szCs w:val="24"/>
                <w:color w:val="auto"/>
              </w:rPr>
            </w:pPr>
          </w:p>
        </w:tc>
        <w:tc>
          <w:tcPr>
            <w:tcW w:w="98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ANS</w:t>
            </w:r>
          </w:p>
        </w:tc>
        <w:tc>
          <w:tcPr>
            <w:tcW w:w="120" w:type="dxa"/>
            <w:vAlign w:val="bottom"/>
          </w:tcPr>
          <w:p>
            <w:pPr>
              <w:spacing w:after="0"/>
              <w:rPr>
                <w:sz w:val="24"/>
                <w:szCs w:val="24"/>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w w:val="89"/>
              </w:rPr>
              <w:t>Home</w:t>
            </w:r>
          </w:p>
        </w:tc>
        <w:tc>
          <w:tcPr>
            <w:tcW w:w="160" w:type="dxa"/>
            <w:vAlign w:val="bottom"/>
          </w:tcPr>
          <w:p>
            <w:pPr>
              <w:spacing w:after="0"/>
              <w:rPr>
                <w:sz w:val="24"/>
                <w:szCs w:val="24"/>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Total</w:t>
            </w:r>
          </w:p>
        </w:tc>
      </w:tr>
      <w:tr>
        <w:trPr>
          <w:trHeight w:val="229"/>
        </w:trPr>
        <w:tc>
          <w:tcPr>
            <w:tcW w:w="20" w:type="dxa"/>
            <w:vAlign w:val="bottom"/>
            <w:shd w:val="clear" w:color="auto" w:fill="CCECFF"/>
          </w:tcPr>
          <w:p>
            <w:pPr>
              <w:spacing w:after="0"/>
              <w:rPr>
                <w:sz w:val="19"/>
                <w:szCs w:val="19"/>
                <w:color w:val="auto"/>
              </w:rPr>
            </w:pPr>
          </w:p>
        </w:tc>
        <w:tc>
          <w:tcPr>
            <w:tcW w:w="4600" w:type="dxa"/>
            <w:vAlign w:val="bottom"/>
            <w:gridSpan w:val="2"/>
            <w:shd w:val="clear" w:color="auto" w:fill="CCECFF"/>
          </w:tcPr>
          <w:p>
            <w:pPr>
              <w:spacing w:after="0"/>
              <w:rPr>
                <w:sz w:val="20"/>
                <w:szCs w:val="20"/>
                <w:color w:val="auto"/>
              </w:rPr>
            </w:pPr>
            <w:r>
              <w:rPr>
                <w:rFonts w:ascii="Arial" w:cs="Arial" w:eastAsia="Arial" w:hAnsi="Arial"/>
                <w:sz w:val="16"/>
                <w:szCs w:val="16"/>
                <w:b w:val="1"/>
                <w:bCs w:val="1"/>
                <w:color w:val="auto"/>
              </w:rPr>
              <w:t>Operating income (loss), as reported</w:t>
            </w: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23.6</w:t>
            </w:r>
          </w:p>
        </w:tc>
        <w:tc>
          <w:tcPr>
            <w:tcW w:w="300" w:type="dxa"/>
            <w:vAlign w:val="bottom"/>
            <w:shd w:val="clear" w:color="auto" w:fill="CCECFF"/>
          </w:tcPr>
          <w:p>
            <w:pPr>
              <w:spacing w:after="0"/>
              <w:rPr>
                <w:sz w:val="19"/>
                <w:szCs w:val="19"/>
                <w:color w:val="auto"/>
              </w:rPr>
            </w:pPr>
          </w:p>
        </w:tc>
        <w:tc>
          <w:tcPr>
            <w:tcW w:w="200" w:type="dxa"/>
            <w:vAlign w:val="bottom"/>
            <w:tcBorders>
              <w:top w:val="single" w:sz="8" w:color="auto"/>
            </w:tcBorders>
            <w:shd w:val="clear" w:color="auto" w:fill="CCEC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43.9</w:t>
            </w:r>
          </w:p>
        </w:tc>
        <w:tc>
          <w:tcPr>
            <w:tcW w:w="300" w:type="dxa"/>
            <w:vAlign w:val="bottom"/>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34.0</w:t>
            </w:r>
          </w:p>
        </w:tc>
        <w:tc>
          <w:tcPr>
            <w:tcW w:w="280" w:type="dxa"/>
            <w:vAlign w:val="bottom"/>
            <w:shd w:val="clear" w:color="auto" w:fill="CCECFF"/>
          </w:tcPr>
          <w:p>
            <w:pPr>
              <w:spacing w:after="0"/>
              <w:rPr>
                <w:sz w:val="19"/>
                <w:szCs w:val="19"/>
                <w:color w:val="auto"/>
              </w:rPr>
            </w:pPr>
          </w:p>
        </w:tc>
        <w:tc>
          <w:tcPr>
            <w:tcW w:w="200" w:type="dxa"/>
            <w:vAlign w:val="bottom"/>
            <w:tcBorders>
              <w:top w:val="single" w:sz="8" w:color="auto"/>
            </w:tcBorders>
            <w:shd w:val="clear" w:color="auto" w:fill="CCEC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(427.1</w:t>
            </w:r>
          </w:p>
        </w:tc>
        <w:tc>
          <w:tcPr>
            <w:tcW w:w="220" w:type="dxa"/>
            <w:vAlign w:val="bottom"/>
            <w:shd w:val="clear" w:color="auto" w:fill="CCEC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(500.2</w:t>
            </w:r>
          </w:p>
        </w:tc>
        <w:tc>
          <w:tcPr>
            <w:tcW w:w="200" w:type="dxa"/>
            <w:vAlign w:val="bottom"/>
            <w:shd w:val="clear" w:color="auto" w:fill="CCECFF"/>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auto"/>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(825.8</w:t>
            </w: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6"/>
                <w:szCs w:val="16"/>
                <w:color w:val="auto"/>
              </w:rPr>
              <w:t>Amortization of purchased intangible assets</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20" w:type="dxa"/>
            <w:vAlign w:val="bottom"/>
            <w:shd w:val="clear" w:color="auto" w:fill="CCECFF"/>
          </w:tcPr>
          <w:p>
            <w:pPr>
              <w:spacing w:after="0"/>
              <w:rPr>
                <w:sz w:val="20"/>
                <w:szCs w:val="20"/>
                <w:color w:val="auto"/>
              </w:rPr>
            </w:pPr>
          </w:p>
        </w:tc>
        <w:tc>
          <w:tcPr>
            <w:tcW w:w="4600" w:type="dxa"/>
            <w:vAlign w:val="bottom"/>
            <w:gridSpan w:val="2"/>
            <w:shd w:val="clear" w:color="auto" w:fill="CCECFF"/>
          </w:tcPr>
          <w:p>
            <w:pPr>
              <w:spacing w:after="0"/>
              <w:rPr>
                <w:sz w:val="20"/>
                <w:szCs w:val="20"/>
                <w:color w:val="auto"/>
              </w:rPr>
            </w:pPr>
            <w:r>
              <w:rPr>
                <w:rFonts w:ascii="Arial" w:cs="Arial" w:eastAsia="Arial" w:hAnsi="Arial"/>
                <w:sz w:val="16"/>
                <w:szCs w:val="16"/>
                <w:color w:val="auto"/>
              </w:rPr>
              <w:t>Restructuring costs (credits), net</w:t>
            </w:r>
          </w:p>
        </w:tc>
        <w:tc>
          <w:tcPr>
            <w:tcW w:w="16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16.2</w:t>
            </w:r>
          </w:p>
        </w:tc>
        <w:tc>
          <w:tcPr>
            <w:tcW w:w="30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6"/>
                <w:szCs w:val="16"/>
                <w:color w:val="auto"/>
              </w:rPr>
              <w:t>(1.0 )</w:t>
            </w:r>
          </w:p>
        </w:tc>
        <w:tc>
          <w:tcPr>
            <w:tcW w:w="180" w:type="dxa"/>
            <w:vAlign w:val="bottom"/>
            <w:shd w:val="clear" w:color="auto" w:fill="CCECFF"/>
          </w:tcPr>
          <w:p>
            <w:pPr>
              <w:spacing w:after="0"/>
              <w:rPr>
                <w:sz w:val="20"/>
                <w:szCs w:val="20"/>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1.3</w:t>
            </w:r>
          </w:p>
        </w:tc>
        <w:tc>
          <w:tcPr>
            <w:tcW w:w="28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CFF"/>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6"/>
                <w:szCs w:val="16"/>
                <w:color w:val="auto"/>
              </w:rPr>
              <w:t>Equity-based compensation</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20" w:type="dxa"/>
            <w:vAlign w:val="bottom"/>
            <w:shd w:val="clear" w:color="auto" w:fill="CCECFF"/>
          </w:tcPr>
          <w:p>
            <w:pPr>
              <w:spacing w:after="0"/>
              <w:rPr>
                <w:sz w:val="20"/>
                <w:szCs w:val="20"/>
                <w:color w:val="auto"/>
              </w:rPr>
            </w:pPr>
          </w:p>
        </w:tc>
        <w:tc>
          <w:tcPr>
            <w:tcW w:w="4600" w:type="dxa"/>
            <w:vAlign w:val="bottom"/>
            <w:gridSpan w:val="2"/>
            <w:shd w:val="clear" w:color="auto" w:fill="CCECFF"/>
          </w:tcPr>
          <w:p>
            <w:pPr>
              <w:spacing w:after="0"/>
              <w:rPr>
                <w:sz w:val="20"/>
                <w:szCs w:val="20"/>
                <w:color w:val="auto"/>
              </w:rPr>
            </w:pPr>
            <w:r>
              <w:rPr>
                <w:rFonts w:ascii="Arial" w:cs="Arial" w:eastAsia="Arial" w:hAnsi="Arial"/>
                <w:sz w:val="16"/>
                <w:szCs w:val="16"/>
                <w:color w:val="auto"/>
              </w:rPr>
              <w:t>Asset impairments</w:t>
            </w:r>
          </w:p>
        </w:tc>
        <w:tc>
          <w:tcPr>
            <w:tcW w:w="160" w:type="dxa"/>
            <w:vAlign w:val="bottom"/>
            <w:shd w:val="clear" w:color="auto" w:fill="CCECFF"/>
          </w:tcPr>
          <w:p>
            <w:pPr>
              <w:spacing w:after="0"/>
              <w:rPr>
                <w:sz w:val="20"/>
                <w:szCs w:val="20"/>
                <w:color w:val="auto"/>
              </w:rPr>
            </w:pPr>
          </w:p>
        </w:tc>
        <w:tc>
          <w:tcPr>
            <w:tcW w:w="880" w:type="dxa"/>
            <w:vAlign w:val="bottom"/>
            <w:gridSpan w:val="2"/>
            <w:shd w:val="clear" w:color="auto" w:fill="CCEC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CFF"/>
          </w:tcPr>
          <w:p>
            <w:pPr>
              <w:spacing w:after="0"/>
              <w:rPr>
                <w:sz w:val="20"/>
                <w:szCs w:val="20"/>
                <w:color w:val="auto"/>
              </w:rPr>
            </w:pPr>
          </w:p>
        </w:tc>
        <w:tc>
          <w:tcPr>
            <w:tcW w:w="1080" w:type="dxa"/>
            <w:vAlign w:val="bottom"/>
            <w:gridSpan w:val="2"/>
            <w:shd w:val="clear" w:color="auto" w:fill="CCEC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CFF"/>
          </w:tcPr>
          <w:p>
            <w:pPr>
              <w:spacing w:after="0"/>
              <w:rPr>
                <w:sz w:val="20"/>
                <w:szCs w:val="20"/>
                <w:color w:val="auto"/>
              </w:rPr>
            </w:pPr>
          </w:p>
        </w:tc>
        <w:tc>
          <w:tcPr>
            <w:tcW w:w="1060" w:type="dxa"/>
            <w:vAlign w:val="bottom"/>
            <w:gridSpan w:val="2"/>
            <w:shd w:val="clear" w:color="auto" w:fill="CCEC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CFF"/>
          </w:tcPr>
          <w:p>
            <w:pPr>
              <w:spacing w:after="0"/>
              <w:rPr>
                <w:sz w:val="20"/>
                <w:szCs w:val="20"/>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425.9</w:t>
            </w:r>
          </w:p>
        </w:tc>
        <w:tc>
          <w:tcPr>
            <w:tcW w:w="22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469.2</w:t>
            </w:r>
          </w:p>
        </w:tc>
        <w:tc>
          <w:tcPr>
            <w:tcW w:w="20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895.1</w:t>
            </w:r>
          </w:p>
        </w:tc>
        <w:tc>
          <w:tcPr>
            <w:tcW w:w="100" w:type="dxa"/>
            <w:vAlign w:val="bottom"/>
            <w:shd w:val="clear" w:color="auto" w:fill="CCECFF"/>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6"/>
                <w:szCs w:val="16"/>
                <w:color w:val="auto"/>
              </w:rPr>
              <w:t>Transaction, transformation and integration costs</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20" w:type="dxa"/>
            <w:vAlign w:val="bottom"/>
            <w:shd w:val="clear" w:color="auto" w:fill="CCECFF"/>
          </w:tcPr>
          <w:p>
            <w:pPr>
              <w:spacing w:after="0"/>
              <w:rPr>
                <w:sz w:val="20"/>
                <w:szCs w:val="20"/>
                <w:color w:val="auto"/>
              </w:rPr>
            </w:pPr>
          </w:p>
        </w:tc>
        <w:tc>
          <w:tcPr>
            <w:tcW w:w="4600" w:type="dxa"/>
            <w:vAlign w:val="bottom"/>
            <w:gridSpan w:val="2"/>
            <w:shd w:val="clear" w:color="auto" w:fill="CCECFF"/>
          </w:tcPr>
          <w:p>
            <w:pPr>
              <w:spacing w:after="0"/>
              <w:rPr>
                <w:sz w:val="20"/>
                <w:szCs w:val="20"/>
                <w:color w:val="auto"/>
              </w:rPr>
            </w:pPr>
            <w:r>
              <w:rPr>
                <w:rFonts w:ascii="Arial" w:cs="Arial" w:eastAsia="Arial" w:hAnsi="Arial"/>
                <w:sz w:val="16"/>
                <w:szCs w:val="16"/>
                <w:color w:val="auto"/>
              </w:rPr>
              <w:t>Acquisition accounting adjustments</w:t>
            </w:r>
          </w:p>
        </w:tc>
        <w:tc>
          <w:tcPr>
            <w:tcW w:w="160" w:type="dxa"/>
            <w:vAlign w:val="bottom"/>
            <w:shd w:val="clear" w:color="auto" w:fill="CCECFF"/>
          </w:tcPr>
          <w:p>
            <w:pPr>
              <w:spacing w:after="0"/>
              <w:rPr>
                <w:sz w:val="20"/>
                <w:szCs w:val="20"/>
                <w:color w:val="auto"/>
              </w:rPr>
            </w:pPr>
          </w:p>
        </w:tc>
        <w:tc>
          <w:tcPr>
            <w:tcW w:w="880" w:type="dxa"/>
            <w:vAlign w:val="bottom"/>
            <w:gridSpan w:val="2"/>
            <w:shd w:val="clear" w:color="auto" w:fill="CCEC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CFF"/>
          </w:tcPr>
          <w:p>
            <w:pPr>
              <w:spacing w:after="0"/>
              <w:rPr>
                <w:sz w:val="20"/>
                <w:szCs w:val="20"/>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0.2</w:t>
            </w:r>
          </w:p>
        </w:tc>
        <w:tc>
          <w:tcPr>
            <w:tcW w:w="30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1060" w:type="dxa"/>
            <w:vAlign w:val="bottom"/>
            <w:gridSpan w:val="2"/>
            <w:shd w:val="clear" w:color="auto" w:fill="CCEC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1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0.3</w:t>
            </w:r>
          </w:p>
        </w:tc>
        <w:tc>
          <w:tcPr>
            <w:tcW w:w="20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CFF"/>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6"/>
                <w:szCs w:val="16"/>
                <w:color w:val="auto"/>
              </w:rPr>
              <w:t>Patent claims and litigation settlements</w:t>
            </w:r>
          </w:p>
        </w:tc>
        <w:tc>
          <w:tcPr>
            <w:tcW w:w="16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(3.5 )</w:t>
            </w:r>
          </w:p>
        </w:tc>
        <w:tc>
          <w:tcPr>
            <w:tcW w:w="18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60" w:type="dxa"/>
            <w:vAlign w:val="bottom"/>
          </w:tcPr>
          <w:p>
            <w:pPr>
              <w:spacing w:after="0"/>
              <w:rPr>
                <w:sz w:val="19"/>
                <w:szCs w:val="19"/>
                <w:color w:val="auto"/>
              </w:rPr>
            </w:pPr>
          </w:p>
        </w:tc>
      </w:tr>
      <w:tr>
        <w:trPr>
          <w:trHeight w:val="239"/>
        </w:trPr>
        <w:tc>
          <w:tcPr>
            <w:tcW w:w="20" w:type="dxa"/>
            <w:vAlign w:val="bottom"/>
            <w:shd w:val="clear" w:color="auto" w:fill="CCECFF"/>
          </w:tcPr>
          <w:p>
            <w:pPr>
              <w:spacing w:after="0"/>
              <w:rPr>
                <w:sz w:val="20"/>
                <w:szCs w:val="20"/>
                <w:color w:val="auto"/>
              </w:rPr>
            </w:pPr>
          </w:p>
        </w:tc>
        <w:tc>
          <w:tcPr>
            <w:tcW w:w="4600" w:type="dxa"/>
            <w:vAlign w:val="bottom"/>
            <w:gridSpan w:val="2"/>
            <w:shd w:val="clear" w:color="auto" w:fill="CCECFF"/>
          </w:tcPr>
          <w:p>
            <w:pPr>
              <w:spacing w:after="0"/>
              <w:rPr>
                <w:sz w:val="20"/>
                <w:szCs w:val="20"/>
                <w:color w:val="auto"/>
              </w:rPr>
            </w:pPr>
            <w:r>
              <w:rPr>
                <w:rFonts w:ascii="Arial" w:cs="Arial" w:eastAsia="Arial" w:hAnsi="Arial"/>
                <w:sz w:val="16"/>
                <w:szCs w:val="16"/>
                <w:color w:val="auto"/>
              </w:rPr>
              <w:t>Cyber incident costs</w:t>
            </w:r>
          </w:p>
        </w:tc>
        <w:tc>
          <w:tcPr>
            <w:tcW w:w="16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0.7</w:t>
            </w:r>
          </w:p>
        </w:tc>
        <w:tc>
          <w:tcPr>
            <w:tcW w:w="30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0.2</w:t>
            </w:r>
          </w:p>
        </w:tc>
        <w:tc>
          <w:tcPr>
            <w:tcW w:w="30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0.3</w:t>
            </w:r>
          </w:p>
        </w:tc>
        <w:tc>
          <w:tcPr>
            <w:tcW w:w="28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0.3</w:t>
            </w:r>
          </w:p>
        </w:tc>
        <w:tc>
          <w:tcPr>
            <w:tcW w:w="22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0.2</w:t>
            </w:r>
          </w:p>
        </w:tc>
        <w:tc>
          <w:tcPr>
            <w:tcW w:w="20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CFF"/>
          </w:tcPr>
          <w:p>
            <w:pPr>
              <w:spacing w:after="0"/>
              <w:rPr>
                <w:sz w:val="20"/>
                <w:szCs w:val="20"/>
                <w:color w:val="auto"/>
              </w:rPr>
            </w:pPr>
          </w:p>
        </w:tc>
        <w:tc>
          <w:tcPr>
            <w:tcW w:w="60" w:type="dxa"/>
            <w:vAlign w:val="bottom"/>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6"/>
        </w:trPr>
        <w:tc>
          <w:tcPr>
            <w:tcW w:w="20" w:type="dxa"/>
            <w:vAlign w:val="bottom"/>
            <w:shd w:val="clear" w:color="auto" w:fill="CCECFF"/>
          </w:tcPr>
          <w:p>
            <w:pPr>
              <w:spacing w:after="0"/>
              <w:rPr>
                <w:sz w:val="19"/>
                <w:szCs w:val="19"/>
                <w:color w:val="auto"/>
              </w:rPr>
            </w:pPr>
          </w:p>
        </w:tc>
        <w:tc>
          <w:tcPr>
            <w:tcW w:w="4600" w:type="dxa"/>
            <w:vAlign w:val="bottom"/>
            <w:gridSpan w:val="2"/>
            <w:shd w:val="clear" w:color="auto" w:fill="CCECFF"/>
          </w:tcPr>
          <w:p>
            <w:pPr>
              <w:spacing w:after="0"/>
              <w:rPr>
                <w:sz w:val="20"/>
                <w:szCs w:val="20"/>
                <w:color w:val="auto"/>
              </w:rPr>
            </w:pPr>
            <w:r>
              <w:rPr>
                <w:rFonts w:ascii="Arial" w:cs="Arial" w:eastAsia="Arial" w:hAnsi="Arial"/>
                <w:sz w:val="16"/>
                <w:szCs w:val="16"/>
                <w:b w:val="1"/>
                <w:bCs w:val="1"/>
                <w:color w:val="auto"/>
              </w:rPr>
              <w:t>Segment adjusted EBITDA</w:t>
            </w:r>
          </w:p>
        </w:tc>
        <w:tc>
          <w:tcPr>
            <w:tcW w:w="16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78.7</w:t>
            </w:r>
          </w:p>
        </w:tc>
        <w:tc>
          <w:tcPr>
            <w:tcW w:w="300" w:type="dxa"/>
            <w:vAlign w:val="bottom"/>
            <w:shd w:val="clear" w:color="auto" w:fill="CCECFF"/>
          </w:tcPr>
          <w:p>
            <w:pPr>
              <w:spacing w:after="0"/>
              <w:rPr>
                <w:sz w:val="19"/>
                <w:szCs w:val="19"/>
                <w:color w:val="auto"/>
              </w:rPr>
            </w:pPr>
          </w:p>
        </w:tc>
        <w:tc>
          <w:tcPr>
            <w:tcW w:w="200" w:type="dxa"/>
            <w:vAlign w:val="bottom"/>
            <w:shd w:val="clear" w:color="auto" w:fill="CCEC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63.0</w:t>
            </w:r>
          </w:p>
        </w:tc>
        <w:tc>
          <w:tcPr>
            <w:tcW w:w="300" w:type="dxa"/>
            <w:vAlign w:val="bottom"/>
            <w:shd w:val="clear" w:color="auto" w:fill="CCECFF"/>
          </w:tcPr>
          <w:p>
            <w:pPr>
              <w:spacing w:after="0"/>
              <w:rPr>
                <w:sz w:val="19"/>
                <w:szCs w:val="19"/>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45.3</w:t>
            </w:r>
          </w:p>
        </w:tc>
        <w:tc>
          <w:tcPr>
            <w:tcW w:w="280" w:type="dxa"/>
            <w:vAlign w:val="bottom"/>
            <w:shd w:val="clear" w:color="auto" w:fill="CCECFF"/>
          </w:tcPr>
          <w:p>
            <w:pPr>
              <w:spacing w:after="0"/>
              <w:rPr>
                <w:sz w:val="19"/>
                <w:szCs w:val="19"/>
                <w:color w:val="auto"/>
              </w:rPr>
            </w:pPr>
          </w:p>
        </w:tc>
        <w:tc>
          <w:tcPr>
            <w:tcW w:w="200" w:type="dxa"/>
            <w:vAlign w:val="bottom"/>
            <w:shd w:val="clear" w:color="auto" w:fill="CCEC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58.5</w:t>
            </w:r>
          </w:p>
        </w:tc>
        <w:tc>
          <w:tcPr>
            <w:tcW w:w="220" w:type="dxa"/>
            <w:vAlign w:val="bottom"/>
            <w:shd w:val="clear" w:color="auto" w:fill="CCECFF"/>
          </w:tcPr>
          <w:p>
            <w:pPr>
              <w:spacing w:after="0"/>
              <w:rPr>
                <w:sz w:val="19"/>
                <w:szCs w:val="19"/>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3.1</w:t>
            </w:r>
          </w:p>
        </w:tc>
        <w:tc>
          <w:tcPr>
            <w:tcW w:w="20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60" w:type="dxa"/>
            <w:vAlign w:val="bottom"/>
            <w:shd w:val="clear" w:color="auto" w:fill="CCEC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248.6</w:t>
            </w:r>
          </w:p>
        </w:tc>
        <w:tc>
          <w:tcPr>
            <w:tcW w:w="100" w:type="dxa"/>
            <w:vAlign w:val="bottom"/>
            <w:shd w:val="clear" w:color="auto" w:fill="CCECFF"/>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6"/>
                <w:szCs w:val="16"/>
                <w:b w:val="1"/>
                <w:bCs w:val="1"/>
                <w:color w:val="auto"/>
              </w:rPr>
              <w:t>Segment adjusted EBITDA % of sales</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12.4 %</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21.8 %</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21.5 %</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26.8 %</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b w:val="1"/>
                <w:bCs w:val="1"/>
                <w:color w:val="auto"/>
              </w:rPr>
              <w:t>15.5 %</w:t>
            </w:r>
          </w:p>
        </w:tc>
      </w:tr>
      <w:tr>
        <w:trPr>
          <w:trHeight w:val="424"/>
        </w:trPr>
        <w:tc>
          <w:tcPr>
            <w:tcW w:w="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6"/>
                <w:szCs w:val="16"/>
                <w:b w:val="1"/>
                <w:bCs w:val="1"/>
                <w:color w:val="auto"/>
                <w:w w:val="98"/>
              </w:rPr>
              <w:t>Third Quarter 2022 Segment Adjusted EBITDA Reconciliation</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43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CCS</w:t>
            </w:r>
          </w:p>
        </w:tc>
        <w:tc>
          <w:tcPr>
            <w:tcW w:w="200" w:type="dxa"/>
            <w:vAlign w:val="bottom"/>
          </w:tcPr>
          <w:p>
            <w:pPr>
              <w:spacing w:after="0"/>
              <w:rPr>
                <w:sz w:val="24"/>
                <w:szCs w:val="2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NICS</w:t>
            </w:r>
          </w:p>
        </w:tc>
        <w:tc>
          <w:tcPr>
            <w:tcW w:w="180" w:type="dxa"/>
            <w:vAlign w:val="bottom"/>
          </w:tcPr>
          <w:p>
            <w:pPr>
              <w:spacing w:after="0"/>
              <w:rPr>
                <w:sz w:val="24"/>
                <w:szCs w:val="2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OWN</w:t>
            </w:r>
          </w:p>
        </w:tc>
        <w:tc>
          <w:tcPr>
            <w:tcW w:w="200" w:type="dxa"/>
            <w:vAlign w:val="bottom"/>
          </w:tcPr>
          <w:p>
            <w:pPr>
              <w:spacing w:after="0"/>
              <w:rPr>
                <w:sz w:val="24"/>
                <w:szCs w:val="24"/>
                <w:color w:val="auto"/>
              </w:rPr>
            </w:pPr>
          </w:p>
        </w:tc>
        <w:tc>
          <w:tcPr>
            <w:tcW w:w="98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ANS</w:t>
            </w:r>
          </w:p>
        </w:tc>
        <w:tc>
          <w:tcPr>
            <w:tcW w:w="120" w:type="dxa"/>
            <w:vAlign w:val="bottom"/>
          </w:tcPr>
          <w:p>
            <w:pPr>
              <w:spacing w:after="0"/>
              <w:rPr>
                <w:sz w:val="24"/>
                <w:szCs w:val="24"/>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w w:val="89"/>
              </w:rPr>
              <w:t>Home</w:t>
            </w:r>
          </w:p>
        </w:tc>
        <w:tc>
          <w:tcPr>
            <w:tcW w:w="160" w:type="dxa"/>
            <w:vAlign w:val="bottom"/>
          </w:tcPr>
          <w:p>
            <w:pPr>
              <w:spacing w:after="0"/>
              <w:rPr>
                <w:sz w:val="24"/>
                <w:szCs w:val="24"/>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Total</w:t>
            </w:r>
          </w:p>
        </w:tc>
      </w:tr>
      <w:tr>
        <w:trPr>
          <w:trHeight w:val="229"/>
        </w:trPr>
        <w:tc>
          <w:tcPr>
            <w:tcW w:w="20" w:type="dxa"/>
            <w:vAlign w:val="bottom"/>
            <w:shd w:val="clear" w:color="auto" w:fill="CCECFF"/>
          </w:tcPr>
          <w:p>
            <w:pPr>
              <w:spacing w:after="0"/>
              <w:rPr>
                <w:sz w:val="19"/>
                <w:szCs w:val="19"/>
                <w:color w:val="auto"/>
              </w:rPr>
            </w:pPr>
          </w:p>
        </w:tc>
        <w:tc>
          <w:tcPr>
            <w:tcW w:w="4600" w:type="dxa"/>
            <w:vAlign w:val="bottom"/>
            <w:gridSpan w:val="2"/>
            <w:shd w:val="clear" w:color="auto" w:fill="CCECFF"/>
          </w:tcPr>
          <w:p>
            <w:pPr>
              <w:spacing w:after="0"/>
              <w:rPr>
                <w:sz w:val="20"/>
                <w:szCs w:val="20"/>
                <w:color w:val="auto"/>
              </w:rPr>
            </w:pPr>
            <w:r>
              <w:rPr>
                <w:rFonts w:ascii="Arial" w:cs="Arial" w:eastAsia="Arial" w:hAnsi="Arial"/>
                <w:sz w:val="16"/>
                <w:szCs w:val="16"/>
                <w:b w:val="1"/>
                <w:bCs w:val="1"/>
                <w:color w:val="auto"/>
              </w:rPr>
              <w:t>Operating income (loss), as reported</w:t>
            </w: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143.2</w:t>
            </w:r>
          </w:p>
        </w:tc>
        <w:tc>
          <w:tcPr>
            <w:tcW w:w="300" w:type="dxa"/>
            <w:vAlign w:val="bottom"/>
            <w:shd w:val="clear" w:color="auto" w:fill="CCECFF"/>
          </w:tcPr>
          <w:p>
            <w:pPr>
              <w:spacing w:after="0"/>
              <w:rPr>
                <w:sz w:val="19"/>
                <w:szCs w:val="19"/>
                <w:color w:val="auto"/>
              </w:rPr>
            </w:pPr>
          </w:p>
        </w:tc>
        <w:tc>
          <w:tcPr>
            <w:tcW w:w="200" w:type="dxa"/>
            <w:vAlign w:val="bottom"/>
            <w:tcBorders>
              <w:top w:val="single" w:sz="8" w:color="auto"/>
            </w:tcBorders>
            <w:shd w:val="clear" w:color="auto" w:fill="CCEC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1.2</w:t>
            </w:r>
          </w:p>
        </w:tc>
        <w:tc>
          <w:tcPr>
            <w:tcW w:w="300" w:type="dxa"/>
            <w:vAlign w:val="bottom"/>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66.7</w:t>
            </w:r>
          </w:p>
        </w:tc>
        <w:tc>
          <w:tcPr>
            <w:tcW w:w="280" w:type="dxa"/>
            <w:vAlign w:val="bottom"/>
            <w:shd w:val="clear" w:color="auto" w:fill="CCECFF"/>
          </w:tcPr>
          <w:p>
            <w:pPr>
              <w:spacing w:after="0"/>
              <w:rPr>
                <w:sz w:val="19"/>
                <w:szCs w:val="19"/>
                <w:color w:val="auto"/>
              </w:rPr>
            </w:pPr>
          </w:p>
        </w:tc>
        <w:tc>
          <w:tcPr>
            <w:tcW w:w="200" w:type="dxa"/>
            <w:vAlign w:val="bottom"/>
            <w:tcBorders>
              <w:top w:val="single" w:sz="8" w:color="auto"/>
            </w:tcBorders>
            <w:shd w:val="clear" w:color="auto" w:fill="CCEC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(15.8</w:t>
            </w:r>
          </w:p>
        </w:tc>
        <w:tc>
          <w:tcPr>
            <w:tcW w:w="220" w:type="dxa"/>
            <w:vAlign w:val="bottom"/>
            <w:shd w:val="clear" w:color="auto" w:fill="CCEC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(39.7</w:t>
            </w:r>
          </w:p>
        </w:tc>
        <w:tc>
          <w:tcPr>
            <w:tcW w:w="200" w:type="dxa"/>
            <w:vAlign w:val="bottom"/>
            <w:shd w:val="clear" w:color="auto" w:fill="CCECFF"/>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auto"/>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155.6</w:t>
            </w:r>
          </w:p>
        </w:tc>
        <w:tc>
          <w:tcPr>
            <w:tcW w:w="100" w:type="dxa"/>
            <w:vAlign w:val="bottom"/>
            <w:shd w:val="clear" w:color="auto" w:fill="CCECFF"/>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6"/>
                <w:szCs w:val="16"/>
                <w:color w:val="auto"/>
              </w:rPr>
              <w:t>Amortization of purchased intangible assets</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134.6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20" w:type="dxa"/>
            <w:vAlign w:val="bottom"/>
            <w:shd w:val="clear" w:color="auto" w:fill="CCECFF"/>
          </w:tcPr>
          <w:p>
            <w:pPr>
              <w:spacing w:after="0"/>
              <w:rPr>
                <w:sz w:val="20"/>
                <w:szCs w:val="20"/>
                <w:color w:val="auto"/>
              </w:rPr>
            </w:pPr>
          </w:p>
        </w:tc>
        <w:tc>
          <w:tcPr>
            <w:tcW w:w="4600" w:type="dxa"/>
            <w:vAlign w:val="bottom"/>
            <w:gridSpan w:val="2"/>
            <w:shd w:val="clear" w:color="auto" w:fill="CCECFF"/>
          </w:tcPr>
          <w:p>
            <w:pPr>
              <w:spacing w:after="0"/>
              <w:rPr>
                <w:sz w:val="20"/>
                <w:szCs w:val="20"/>
                <w:color w:val="auto"/>
              </w:rPr>
            </w:pPr>
            <w:r>
              <w:rPr>
                <w:rFonts w:ascii="Arial" w:cs="Arial" w:eastAsia="Arial" w:hAnsi="Arial"/>
                <w:sz w:val="16"/>
                <w:szCs w:val="16"/>
                <w:color w:val="auto"/>
              </w:rPr>
              <w:t>Restructuring costs, net</w:t>
            </w:r>
          </w:p>
        </w:tc>
        <w:tc>
          <w:tcPr>
            <w:tcW w:w="16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0.7</w:t>
            </w:r>
          </w:p>
        </w:tc>
        <w:tc>
          <w:tcPr>
            <w:tcW w:w="30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0.4</w:t>
            </w:r>
          </w:p>
        </w:tc>
        <w:tc>
          <w:tcPr>
            <w:tcW w:w="30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w:t>
            </w:r>
          </w:p>
        </w:tc>
        <w:tc>
          <w:tcPr>
            <w:tcW w:w="28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CFF"/>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6"/>
                <w:szCs w:val="16"/>
                <w:color w:val="auto"/>
              </w:rPr>
              <w:t>Equity-based compensation</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20" w:type="dxa"/>
            <w:vAlign w:val="bottom"/>
            <w:shd w:val="clear" w:color="auto" w:fill="CCECFF"/>
          </w:tcPr>
          <w:p>
            <w:pPr>
              <w:spacing w:after="0"/>
              <w:rPr>
                <w:sz w:val="20"/>
                <w:szCs w:val="20"/>
                <w:color w:val="auto"/>
              </w:rPr>
            </w:pPr>
          </w:p>
        </w:tc>
        <w:tc>
          <w:tcPr>
            <w:tcW w:w="4600" w:type="dxa"/>
            <w:vAlign w:val="bottom"/>
            <w:gridSpan w:val="2"/>
            <w:shd w:val="clear" w:color="auto" w:fill="CCECFF"/>
          </w:tcPr>
          <w:p>
            <w:pPr>
              <w:spacing w:after="0"/>
              <w:rPr>
                <w:sz w:val="20"/>
                <w:szCs w:val="20"/>
                <w:color w:val="auto"/>
              </w:rPr>
            </w:pPr>
            <w:r>
              <w:rPr>
                <w:rFonts w:ascii="Arial" w:cs="Arial" w:eastAsia="Arial" w:hAnsi="Arial"/>
                <w:sz w:val="16"/>
                <w:szCs w:val="16"/>
                <w:color w:val="auto"/>
              </w:rPr>
              <w:t>Transaction, transformation and integration costs</w:t>
            </w:r>
          </w:p>
        </w:tc>
        <w:tc>
          <w:tcPr>
            <w:tcW w:w="16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2.2</w:t>
            </w:r>
          </w:p>
        </w:tc>
        <w:tc>
          <w:tcPr>
            <w:tcW w:w="30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0.6</w:t>
            </w:r>
          </w:p>
        </w:tc>
        <w:tc>
          <w:tcPr>
            <w:tcW w:w="30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0.9</w:t>
            </w:r>
          </w:p>
        </w:tc>
        <w:tc>
          <w:tcPr>
            <w:tcW w:w="28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0.9</w:t>
            </w:r>
          </w:p>
        </w:tc>
        <w:tc>
          <w:tcPr>
            <w:tcW w:w="22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CFF"/>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6"/>
                <w:szCs w:val="16"/>
                <w:color w:val="auto"/>
              </w:rPr>
              <w:t>Acquisition accounting adjustments</w:t>
            </w:r>
          </w:p>
        </w:tc>
        <w:tc>
          <w:tcPr>
            <w:tcW w:w="16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20" w:type="dxa"/>
            <w:vAlign w:val="bottom"/>
            <w:shd w:val="clear" w:color="auto" w:fill="CCECFF"/>
          </w:tcPr>
          <w:p>
            <w:pPr>
              <w:spacing w:after="0"/>
              <w:rPr>
                <w:sz w:val="20"/>
                <w:szCs w:val="20"/>
                <w:color w:val="auto"/>
              </w:rPr>
            </w:pPr>
          </w:p>
        </w:tc>
        <w:tc>
          <w:tcPr>
            <w:tcW w:w="4600" w:type="dxa"/>
            <w:vAlign w:val="bottom"/>
            <w:gridSpan w:val="2"/>
            <w:shd w:val="clear" w:color="auto" w:fill="CCECFF"/>
          </w:tcPr>
          <w:p>
            <w:pPr>
              <w:spacing w:after="0"/>
              <w:rPr>
                <w:sz w:val="20"/>
                <w:szCs w:val="20"/>
                <w:color w:val="auto"/>
              </w:rPr>
            </w:pPr>
            <w:r>
              <w:rPr>
                <w:rFonts w:ascii="Arial" w:cs="Arial" w:eastAsia="Arial" w:hAnsi="Arial"/>
                <w:sz w:val="16"/>
                <w:szCs w:val="16"/>
                <w:color w:val="auto"/>
              </w:rPr>
              <w:t>Patent claims and litigation settlements</w:t>
            </w:r>
          </w:p>
        </w:tc>
        <w:tc>
          <w:tcPr>
            <w:tcW w:w="16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0.1</w:t>
            </w:r>
          </w:p>
        </w:tc>
        <w:tc>
          <w:tcPr>
            <w:tcW w:w="30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080" w:type="dxa"/>
            <w:vAlign w:val="bottom"/>
            <w:gridSpan w:val="2"/>
            <w:shd w:val="clear" w:color="auto" w:fill="CCEC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CFF"/>
          </w:tcPr>
          <w:p>
            <w:pPr>
              <w:spacing w:after="0"/>
              <w:rPr>
                <w:sz w:val="20"/>
                <w:szCs w:val="20"/>
                <w:color w:val="auto"/>
              </w:rPr>
            </w:pPr>
          </w:p>
        </w:tc>
        <w:tc>
          <w:tcPr>
            <w:tcW w:w="1060" w:type="dxa"/>
            <w:vAlign w:val="bottom"/>
            <w:gridSpan w:val="2"/>
            <w:shd w:val="clear" w:color="auto" w:fill="CCEC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1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CFF"/>
          </w:tcPr>
          <w:p>
            <w:pPr>
              <w:spacing w:after="0"/>
              <w:rPr>
                <w:sz w:val="20"/>
                <w:szCs w:val="20"/>
                <w:color w:val="auto"/>
              </w:rPr>
            </w:pPr>
          </w:p>
        </w:tc>
        <w:tc>
          <w:tcPr>
            <w:tcW w:w="800" w:type="dxa"/>
            <w:vAlign w:val="bottom"/>
            <w:gridSpan w:val="3"/>
            <w:shd w:val="clear" w:color="auto" w:fill="CCEC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CFF"/>
          </w:tcPr>
          <w:p>
            <w:pPr>
              <w:spacing w:after="0"/>
              <w:rPr>
                <w:sz w:val="20"/>
                <w:szCs w:val="20"/>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CFF"/>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6"/>
                <w:szCs w:val="16"/>
                <w:color w:val="auto"/>
              </w:rPr>
              <w:t>Recovery of Russian accounts receivable</w:t>
            </w: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(1.0 )</w:t>
            </w:r>
          </w:p>
        </w:tc>
        <w:tc>
          <w:tcPr>
            <w:tcW w:w="2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60" w:type="dxa"/>
            <w:vAlign w:val="bottom"/>
          </w:tcPr>
          <w:p>
            <w:pPr>
              <w:spacing w:after="0"/>
              <w:rPr>
                <w:sz w:val="19"/>
                <w:szCs w:val="19"/>
                <w:color w:val="auto"/>
              </w:rPr>
            </w:pPr>
          </w:p>
        </w:tc>
      </w:tr>
      <w:tr>
        <w:trPr>
          <w:trHeight w:val="236"/>
        </w:trPr>
        <w:tc>
          <w:tcPr>
            <w:tcW w:w="20" w:type="dxa"/>
            <w:vAlign w:val="bottom"/>
            <w:tcBorders>
              <w:bottom w:val="single" w:sz="8" w:color="CCECFF"/>
            </w:tcBorders>
            <w:shd w:val="clear" w:color="auto" w:fill="CCECFF"/>
          </w:tcPr>
          <w:p>
            <w:pPr>
              <w:spacing w:after="0"/>
              <w:rPr>
                <w:sz w:val="20"/>
                <w:szCs w:val="20"/>
                <w:color w:val="auto"/>
              </w:rPr>
            </w:pPr>
          </w:p>
        </w:tc>
        <w:tc>
          <w:tcPr>
            <w:tcW w:w="460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6"/>
                <w:szCs w:val="16"/>
                <w:color w:val="auto"/>
              </w:rPr>
              <w:t>Depreciation</w:t>
            </w:r>
          </w:p>
        </w:tc>
        <w:tc>
          <w:tcPr>
            <w:tcW w:w="160" w:type="dxa"/>
            <w:vAlign w:val="bottom"/>
            <w:tcBorders>
              <w:bottom w:val="single" w:sz="8" w:color="auto"/>
            </w:tcBorders>
            <w:shd w:val="clear" w:color="auto" w:fill="CCECFF"/>
          </w:tcPr>
          <w:p>
            <w:pPr>
              <w:spacing w:after="0"/>
              <w:rPr>
                <w:sz w:val="20"/>
                <w:szCs w:val="20"/>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14.8</w:t>
            </w:r>
          </w:p>
        </w:tc>
        <w:tc>
          <w:tcPr>
            <w:tcW w:w="30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bottom w:val="single" w:sz="8" w:color="auto"/>
            </w:tcBorders>
            <w:shd w:val="clear" w:color="auto" w:fill="CCECFF"/>
          </w:tcPr>
          <w:p>
            <w:pPr>
              <w:spacing w:after="0"/>
              <w:rPr>
                <w:sz w:val="20"/>
                <w:szCs w:val="20"/>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3.6</w:t>
            </w:r>
          </w:p>
        </w:tc>
        <w:tc>
          <w:tcPr>
            <w:tcW w:w="30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auto"/>
            </w:tcBorders>
            <w:shd w:val="clear" w:color="auto" w:fill="CCECFF"/>
          </w:tcPr>
          <w:p>
            <w:pPr>
              <w:spacing w:after="0"/>
              <w:rPr>
                <w:sz w:val="20"/>
                <w:szCs w:val="20"/>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3.5</w:t>
            </w:r>
          </w:p>
        </w:tc>
        <w:tc>
          <w:tcPr>
            <w:tcW w:w="28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bottom w:val="single" w:sz="8" w:color="auto"/>
            </w:tcBorders>
            <w:shd w:val="clear" w:color="auto" w:fill="CCECFF"/>
          </w:tcPr>
          <w:p>
            <w:pPr>
              <w:spacing w:after="0"/>
              <w:rPr>
                <w:sz w:val="20"/>
                <w:szCs w:val="20"/>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5.7</w:t>
            </w:r>
          </w:p>
        </w:tc>
        <w:tc>
          <w:tcPr>
            <w:tcW w:w="22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auto"/>
            </w:tcBorders>
            <w:shd w:val="clear" w:color="auto" w:fill="CCECFF"/>
          </w:tcPr>
          <w:p>
            <w:pPr>
              <w:spacing w:after="0"/>
              <w:rPr>
                <w:sz w:val="20"/>
                <w:szCs w:val="20"/>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4.2</w:t>
            </w:r>
          </w:p>
        </w:tc>
        <w:tc>
          <w:tcPr>
            <w:tcW w:w="200" w:type="dxa"/>
            <w:vAlign w:val="bottom"/>
            <w:tcBorders>
              <w:bottom w:val="single" w:sz="8" w:color="CCECFF"/>
            </w:tcBorders>
            <w:shd w:val="clear" w:color="auto" w:fill="CCECFF"/>
          </w:tcPr>
          <w:p>
            <w:pPr>
              <w:spacing w:after="0"/>
              <w:rPr>
                <w:sz w:val="20"/>
                <w:szCs w:val="20"/>
                <w:color w:val="auto"/>
              </w:rPr>
            </w:pPr>
          </w:p>
        </w:tc>
        <w:tc>
          <w:tcPr>
            <w:tcW w:w="20" w:type="dxa"/>
            <w:vAlign w:val="bottom"/>
            <w:tcBorders>
              <w:bottom w:val="single" w:sz="8" w:color="auto"/>
            </w:tcBorders>
            <w:shd w:val="clear" w:color="auto" w:fill="CCECFF"/>
          </w:tcPr>
          <w:p>
            <w:pPr>
              <w:spacing w:after="0"/>
              <w:rPr>
                <w:sz w:val="20"/>
                <w:szCs w:val="20"/>
                <w:color w:val="auto"/>
              </w:rPr>
            </w:pPr>
          </w:p>
        </w:tc>
        <w:tc>
          <w:tcPr>
            <w:tcW w:w="160" w:type="dxa"/>
            <w:vAlign w:val="bottom"/>
            <w:tcBorders>
              <w:bottom w:val="single" w:sz="8" w:color="auto"/>
            </w:tcBorders>
            <w:shd w:val="clear" w:color="auto" w:fill="CCECFF"/>
          </w:tcPr>
          <w:p>
            <w:pPr>
              <w:spacing w:after="0"/>
              <w:rPr>
                <w:sz w:val="20"/>
                <w:szCs w:val="20"/>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CFF"/>
            </w:tcBorders>
            <w:shd w:val="clear" w:color="auto" w:fill="CCECFF"/>
          </w:tcPr>
          <w:p>
            <w:pPr>
              <w:spacing w:after="0"/>
              <w:rPr>
                <w:sz w:val="20"/>
                <w:szCs w:val="20"/>
                <w:color w:val="auto"/>
              </w:rPr>
            </w:pPr>
          </w:p>
        </w:tc>
        <w:tc>
          <w:tcPr>
            <w:tcW w:w="60" w:type="dxa"/>
            <w:vAlign w:val="bottom"/>
          </w:tcPr>
          <w:p>
            <w:pPr>
              <w:spacing w:after="0"/>
              <w:rPr>
                <w:sz w:val="20"/>
                <w:szCs w:val="20"/>
                <w:color w:val="auto"/>
              </w:rPr>
            </w:pPr>
          </w:p>
        </w:tc>
      </w:tr>
      <w:tr>
        <w:trPr>
          <w:trHeight w:val="207"/>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Arial" w:cs="Arial" w:eastAsia="Arial" w:hAnsi="Arial"/>
                <w:sz w:val="16"/>
                <w:szCs w:val="16"/>
                <w:b w:val="1"/>
                <w:bCs w:val="1"/>
                <w:color w:val="auto"/>
              </w:rPr>
              <w:t>Segment adjusted EBITDA</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188.2</w:t>
            </w:r>
          </w:p>
        </w:tc>
        <w:tc>
          <w:tcPr>
            <w:tcW w:w="3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24.7</w:t>
            </w:r>
          </w:p>
        </w:tc>
        <w:tc>
          <w:tcPr>
            <w:tcW w:w="3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82.2</w:t>
            </w:r>
          </w:p>
        </w:tc>
        <w:tc>
          <w:tcPr>
            <w:tcW w:w="2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57.8</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(5.3 )</w:t>
            </w:r>
          </w:p>
        </w:tc>
        <w:tc>
          <w:tcPr>
            <w:tcW w:w="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347.6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6"/>
                <w:szCs w:val="16"/>
                <w:b w:val="1"/>
                <w:bCs w:val="1"/>
                <w:color w:val="auto"/>
              </w:rPr>
              <w:t>Segment adjusted EBITDA % of sales</w:t>
            </w: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18.7 %</w:t>
            </w: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9.6 %</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21.5 %</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16.9 %</w:t>
            </w: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b w:val="1"/>
                <w:bCs w:val="1"/>
                <w:color w:val="auto"/>
              </w:rPr>
              <w:t>(1.4 %)</w:t>
            </w:r>
          </w:p>
        </w:tc>
        <w:tc>
          <w:tcPr>
            <w:tcW w:w="16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b w:val="1"/>
                <w:bCs w:val="1"/>
                <w:color w:val="auto"/>
              </w:rPr>
              <w:t>14.6 %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2997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Components may not sum to total due to rounding.</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"Non-GAAP Financial Measures"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55" w:right="279" w:bottom="1440" w:gutter="0" w:footer="0" w:header="0"/>
        </w:sectPr>
      </w:pPr>
    </w:p>
    <w:bookmarkStart w:id="16" w:name="page17"/>
    <w:bookmarkEnd w:id="16"/>
    <w:p>
      <w:pPr>
        <w:jc w:val="center"/>
        <w:ind w:right="100"/>
        <w:spacing w:after="0"/>
        <w:rPr>
          <w:sz w:val="20"/>
          <w:szCs w:val="20"/>
          <w:color w:val="auto"/>
        </w:rPr>
      </w:pPr>
      <w:r>
        <w:rPr>
          <w:rFonts w:ascii="Arial" w:cs="Arial" w:eastAsia="Arial" w:hAnsi="Arial"/>
          <w:sz w:val="18"/>
          <w:szCs w:val="18"/>
          <w:b w:val="1"/>
          <w:bCs w:val="1"/>
          <w:color w:val="auto"/>
        </w:rPr>
        <w:t>CommScope Holding Company, Inc.</w:t>
      </w:r>
    </w:p>
    <w:p>
      <w:pPr>
        <w:spacing w:after="0" w:line="3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Adjusted Free Cash Flow</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(Unaudited -- In millions)</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Adjusted Free Cash Flow</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461"/>
              <w:spacing w:after="0"/>
              <w:rPr>
                <w:sz w:val="20"/>
                <w:szCs w:val="20"/>
                <w:color w:val="auto"/>
              </w:rPr>
            </w:pPr>
            <w:r>
              <w:rPr>
                <w:rFonts w:ascii="Arial" w:cs="Arial" w:eastAsia="Arial" w:hAnsi="Arial"/>
                <w:sz w:val="16"/>
                <w:szCs w:val="16"/>
                <w:b w:val="1"/>
                <w:bCs w:val="1"/>
                <w:color w:val="auto"/>
                <w:w w:val="93"/>
              </w:rPr>
              <w:t>Q3</w:t>
            </w:r>
          </w:p>
        </w:tc>
        <w:tc>
          <w:tcPr>
            <w:tcW w:w="220" w:type="dxa"/>
            <w:vAlign w:val="bottom"/>
          </w:tcPr>
          <w:p>
            <w:pPr>
              <w:spacing w:after="0"/>
              <w:rPr>
                <w:sz w:val="17"/>
                <w:szCs w:val="17"/>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Q4</w:t>
            </w:r>
          </w:p>
        </w:tc>
        <w:tc>
          <w:tcPr>
            <w:tcW w:w="200" w:type="dxa"/>
            <w:vAlign w:val="bottom"/>
          </w:tcPr>
          <w:p>
            <w:pPr>
              <w:spacing w:after="0"/>
              <w:rPr>
                <w:sz w:val="17"/>
                <w:szCs w:val="17"/>
                <w:color w:val="auto"/>
              </w:rPr>
            </w:pPr>
          </w:p>
        </w:tc>
        <w:tc>
          <w:tcPr>
            <w:tcW w:w="1020" w:type="dxa"/>
            <w:vAlign w:val="bottom"/>
            <w:gridSpan w:val="2"/>
          </w:tcPr>
          <w:p>
            <w:pPr>
              <w:jc w:val="center"/>
              <w:ind w:right="410"/>
              <w:spacing w:after="0"/>
              <w:rPr>
                <w:sz w:val="20"/>
                <w:szCs w:val="20"/>
                <w:color w:val="auto"/>
              </w:rPr>
            </w:pPr>
            <w:r>
              <w:rPr>
                <w:rFonts w:ascii="Arial" w:cs="Arial" w:eastAsia="Arial" w:hAnsi="Arial"/>
                <w:sz w:val="16"/>
                <w:szCs w:val="16"/>
                <w:b w:val="1"/>
                <w:bCs w:val="1"/>
                <w:color w:val="auto"/>
                <w:w w:val="93"/>
              </w:rPr>
              <w:t>Q1</w:t>
            </w:r>
          </w:p>
        </w:tc>
        <w:tc>
          <w:tcPr>
            <w:tcW w:w="200" w:type="dxa"/>
            <w:vAlign w:val="bottom"/>
          </w:tcPr>
          <w:p>
            <w:pPr>
              <w:spacing w:after="0"/>
              <w:rPr>
                <w:sz w:val="17"/>
                <w:szCs w:val="17"/>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rPr>
              <w:t>Q2</w:t>
            </w:r>
          </w:p>
        </w:tc>
        <w:tc>
          <w:tcPr>
            <w:tcW w:w="200" w:type="dxa"/>
            <w:vAlign w:val="bottom"/>
          </w:tcPr>
          <w:p>
            <w:pPr>
              <w:spacing w:after="0"/>
              <w:rPr>
                <w:sz w:val="17"/>
                <w:szCs w:val="17"/>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Q3</w:t>
            </w:r>
          </w:p>
        </w:tc>
      </w:tr>
      <w:tr>
        <w:trPr>
          <w:trHeight w:val="223"/>
        </w:trPr>
        <w:tc>
          <w:tcPr>
            <w:tcW w:w="5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2022</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2022</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2023</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r>
      <w:tr>
        <w:trPr>
          <w:trHeight w:val="243"/>
        </w:trPr>
        <w:tc>
          <w:tcPr>
            <w:tcW w:w="522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Cash flow from operations</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(87.6</w:t>
            </w:r>
          </w:p>
        </w:tc>
        <w:tc>
          <w:tcPr>
            <w:tcW w:w="320" w:type="dxa"/>
            <w:vAlign w:val="bottom"/>
            <w:shd w:val="clear" w:color="auto" w:fill="CCECFF"/>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20" w:type="dxa"/>
            <w:vAlign w:val="bottom"/>
            <w:shd w:val="clear" w:color="auto" w:fill="CCEC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386.8</w:t>
            </w:r>
          </w:p>
        </w:tc>
        <w:tc>
          <w:tcPr>
            <w:tcW w:w="30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(46.1</w:t>
            </w:r>
          </w:p>
        </w:tc>
        <w:tc>
          <w:tcPr>
            <w:tcW w:w="300" w:type="dxa"/>
            <w:vAlign w:val="bottom"/>
            <w:shd w:val="clear" w:color="auto" w:fill="CCEC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136.8</w:t>
            </w:r>
          </w:p>
        </w:tc>
        <w:tc>
          <w:tcPr>
            <w:tcW w:w="32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138.8</w:t>
            </w:r>
          </w:p>
        </w:tc>
        <w:tc>
          <w:tcPr>
            <w:tcW w:w="100" w:type="dxa"/>
            <w:vAlign w:val="bottom"/>
            <w:shd w:val="clear" w:color="auto" w:fill="CCECFF"/>
          </w:tcPr>
          <w:p>
            <w:pPr>
              <w:spacing w:after="0"/>
              <w:rPr>
                <w:sz w:val="21"/>
                <w:szCs w:val="2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1060" w:type="dxa"/>
            <w:vAlign w:val="bottom"/>
            <w:gridSpan w:val="2"/>
          </w:tcPr>
          <w:p>
            <w:pPr>
              <w:jc w:val="right"/>
              <w:ind w:right="181"/>
              <w:spacing w:after="0"/>
              <w:rPr>
                <w:sz w:val="20"/>
                <w:szCs w:val="20"/>
                <w:color w:val="auto"/>
              </w:rPr>
            </w:pPr>
            <w:r>
              <w:rPr>
                <w:rFonts w:ascii="Arial" w:cs="Arial" w:eastAsia="Arial" w:hAnsi="Arial"/>
                <w:sz w:val="18"/>
                <w:szCs w:val="18"/>
                <w:color w:val="auto"/>
              </w:rPr>
              <w:t>(23.6 )</w:t>
            </w:r>
          </w:p>
        </w:tc>
        <w:tc>
          <w:tcPr>
            <w:tcW w:w="2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(22.6 )</w:t>
            </w:r>
          </w:p>
        </w:tc>
        <w:tc>
          <w:tcPr>
            <w:tcW w:w="200" w:type="dxa"/>
            <w:vAlign w:val="bottom"/>
          </w:tcPr>
          <w:p>
            <w:pPr>
              <w:spacing w:after="0"/>
              <w:rPr>
                <w:sz w:val="21"/>
                <w:szCs w:val="21"/>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(14.4 )</w:t>
            </w:r>
          </w:p>
        </w:tc>
        <w:tc>
          <w:tcPr>
            <w:tcW w:w="20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(20.8 )</w:t>
            </w:r>
          </w:p>
        </w:tc>
        <w:tc>
          <w:tcPr>
            <w:tcW w:w="20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(8.7 )</w:t>
            </w:r>
          </w:p>
        </w:tc>
      </w:tr>
      <w:tr>
        <w:trPr>
          <w:trHeight w:val="236"/>
        </w:trPr>
        <w:tc>
          <w:tcPr>
            <w:tcW w:w="522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Free cash flow</w:t>
            </w:r>
          </w:p>
        </w:tc>
        <w:tc>
          <w:tcPr>
            <w:tcW w:w="220" w:type="dxa"/>
            <w:vAlign w:val="bottom"/>
            <w:tcBorders>
              <w:top w:val="single" w:sz="8" w:color="auto"/>
            </w:tcBorders>
            <w:shd w:val="clear" w:color="auto" w:fill="CCECFF"/>
          </w:tcPr>
          <w:p>
            <w:pPr>
              <w:spacing w:after="0"/>
              <w:rPr>
                <w:sz w:val="20"/>
                <w:szCs w:val="20"/>
                <w:color w:val="auto"/>
              </w:rPr>
            </w:pPr>
          </w:p>
        </w:tc>
        <w:tc>
          <w:tcPr>
            <w:tcW w:w="7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(111.2</w:t>
            </w:r>
          </w:p>
        </w:tc>
        <w:tc>
          <w:tcPr>
            <w:tcW w:w="320" w:type="dxa"/>
            <w:vAlign w:val="bottom"/>
            <w:shd w:val="clear" w:color="auto" w:fill="CCECFF"/>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tcBorders>
            <w:shd w:val="clear" w:color="auto" w:fill="CCECFF"/>
          </w:tcPr>
          <w:p>
            <w:pPr>
              <w:spacing w:after="0"/>
              <w:rPr>
                <w:sz w:val="20"/>
                <w:szCs w:val="20"/>
                <w:color w:val="auto"/>
              </w:rPr>
            </w:pPr>
          </w:p>
        </w:tc>
        <w:tc>
          <w:tcPr>
            <w:tcW w:w="7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364.2</w:t>
            </w:r>
          </w:p>
        </w:tc>
        <w:tc>
          <w:tcPr>
            <w:tcW w:w="300" w:type="dxa"/>
            <w:vAlign w:val="bottom"/>
            <w:shd w:val="clear" w:color="auto" w:fill="CCECFF"/>
          </w:tcPr>
          <w:p>
            <w:pPr>
              <w:spacing w:after="0"/>
              <w:rPr>
                <w:sz w:val="20"/>
                <w:szCs w:val="20"/>
                <w:color w:val="auto"/>
              </w:rPr>
            </w:pPr>
          </w:p>
        </w:tc>
        <w:tc>
          <w:tcPr>
            <w:tcW w:w="200" w:type="dxa"/>
            <w:vAlign w:val="bottom"/>
            <w:tcBorders>
              <w:top w:val="single" w:sz="8" w:color="auto"/>
            </w:tcBorders>
            <w:shd w:val="clear" w:color="auto" w:fill="CCECFF"/>
          </w:tcPr>
          <w:p>
            <w:pPr>
              <w:spacing w:after="0"/>
              <w:rPr>
                <w:sz w:val="20"/>
                <w:szCs w:val="20"/>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(60.5</w:t>
            </w:r>
          </w:p>
        </w:tc>
        <w:tc>
          <w:tcPr>
            <w:tcW w:w="300" w:type="dxa"/>
            <w:vAlign w:val="bottom"/>
            <w:shd w:val="clear" w:color="auto" w:fill="CCEC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tcBorders>
            <w:shd w:val="clear" w:color="auto" w:fill="CCECFF"/>
          </w:tcPr>
          <w:p>
            <w:pPr>
              <w:spacing w:after="0"/>
              <w:rPr>
                <w:sz w:val="20"/>
                <w:szCs w:val="20"/>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116.0</w:t>
            </w:r>
          </w:p>
        </w:tc>
        <w:tc>
          <w:tcPr>
            <w:tcW w:w="320" w:type="dxa"/>
            <w:vAlign w:val="bottom"/>
            <w:shd w:val="clear" w:color="auto" w:fill="CCECFF"/>
          </w:tcPr>
          <w:p>
            <w:pPr>
              <w:spacing w:after="0"/>
              <w:rPr>
                <w:sz w:val="20"/>
                <w:szCs w:val="20"/>
                <w:color w:val="auto"/>
              </w:rPr>
            </w:pPr>
          </w:p>
        </w:tc>
        <w:tc>
          <w:tcPr>
            <w:tcW w:w="200" w:type="dxa"/>
            <w:vAlign w:val="bottom"/>
            <w:tcBorders>
              <w:top w:val="single" w:sz="8" w:color="auto"/>
            </w:tcBorders>
            <w:shd w:val="clear" w:color="auto" w:fill="CCECFF"/>
          </w:tcPr>
          <w:p>
            <w:pPr>
              <w:spacing w:after="0"/>
              <w:rPr>
                <w:sz w:val="20"/>
                <w:szCs w:val="20"/>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130.1</w:t>
            </w:r>
          </w:p>
        </w:tc>
        <w:tc>
          <w:tcPr>
            <w:tcW w:w="100" w:type="dxa"/>
            <w:vAlign w:val="bottom"/>
            <w:shd w:val="clear" w:color="auto" w:fill="CCECFF"/>
          </w:tcPr>
          <w:p>
            <w:pPr>
              <w:spacing w:after="0"/>
              <w:rPr>
                <w:sz w:val="20"/>
                <w:szCs w:val="20"/>
                <w:color w:val="auto"/>
              </w:rPr>
            </w:pP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Transaction, transformation and integration costs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r>
      <w:tr>
        <w:trPr>
          <w:trHeight w:val="249"/>
        </w:trPr>
        <w:tc>
          <w:tcPr>
            <w:tcW w:w="52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Restructuring costs, net</w:t>
            </w:r>
          </w:p>
        </w:tc>
        <w:tc>
          <w:tcPr>
            <w:tcW w:w="220" w:type="dxa"/>
            <w:vAlign w:val="bottom"/>
            <w:tcBorders>
              <w:bottom w:val="single" w:sz="8" w:color="auto"/>
            </w:tcBorders>
            <w:shd w:val="clear" w:color="auto" w:fill="CCECFF"/>
          </w:tcPr>
          <w:p>
            <w:pPr>
              <w:spacing w:after="0"/>
              <w:rPr>
                <w:sz w:val="21"/>
                <w:szCs w:val="2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spacing w:after="0"/>
              <w:rPr>
                <w:sz w:val="21"/>
                <w:szCs w:val="2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19.9</w:t>
            </w:r>
          </w:p>
        </w:tc>
        <w:tc>
          <w:tcPr>
            <w:tcW w:w="30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19.4</w:t>
            </w:r>
          </w:p>
        </w:tc>
        <w:tc>
          <w:tcPr>
            <w:tcW w:w="30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31.1</w:t>
            </w:r>
          </w:p>
        </w:tc>
        <w:tc>
          <w:tcPr>
            <w:tcW w:w="32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rPr>
              <w:t>(91.0 )</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402.8</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(39.7 )</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148.8</w:t>
            </w:r>
          </w:p>
        </w:tc>
        <w:tc>
          <w:tcPr>
            <w:tcW w:w="3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181.7</w:t>
            </w:r>
          </w:p>
        </w:tc>
        <w:tc>
          <w:tcPr>
            <w:tcW w:w="10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-187960</wp:posOffset>
            </wp:positionV>
            <wp:extent cx="76835" cy="3422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-187960</wp:posOffset>
            </wp:positionV>
            <wp:extent cx="68580" cy="3422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-187960</wp:posOffset>
            </wp:positionV>
            <wp:extent cx="68580" cy="3422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-187960</wp:posOffset>
            </wp:positionV>
            <wp:extent cx="68580" cy="3422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4965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496570"/>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"Non-GAAP Financial Measures"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7" w:name="page18"/>
    <w:bookmarkEnd w:id="17"/>
    <w:p>
      <w:pPr>
        <w:jc w:val="center"/>
        <w:ind w:right="180"/>
        <w:spacing w:after="0"/>
        <w:rPr>
          <w:sz w:val="20"/>
          <w:szCs w:val="20"/>
          <w:color w:val="auto"/>
        </w:rPr>
      </w:pPr>
      <w:r>
        <w:rPr>
          <w:rFonts w:ascii="Arial" w:cs="Arial" w:eastAsia="Arial" w:hAnsi="Arial"/>
          <w:sz w:val="18"/>
          <w:szCs w:val="18"/>
          <w:b w:val="1"/>
          <w:bCs w:val="1"/>
          <w:color w:val="auto"/>
        </w:rPr>
        <w:t>CommScope Holding Company, Inc.</w:t>
      </w:r>
    </w:p>
    <w:p>
      <w:pPr>
        <w:spacing w:after="0" w:line="3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Adjusted Gross Profit and Adjusted Operating Expense</w:t>
      </w:r>
    </w:p>
    <w:p>
      <w:pPr>
        <w:spacing w:after="0" w:line="3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 -- In millions)</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GAAP to Non-GAAP Adjusted Gross Profit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Q3 2022</w:t>
            </w:r>
          </w:p>
        </w:tc>
        <w:tc>
          <w:tcPr>
            <w:tcW w:w="180" w:type="dxa"/>
            <w:vAlign w:val="bottom"/>
          </w:tcPr>
          <w:p>
            <w:pPr>
              <w:spacing w:after="0"/>
              <w:rPr>
                <w:sz w:val="19"/>
                <w:szCs w:val="19"/>
                <w:color w:val="auto"/>
              </w:rPr>
            </w:pPr>
          </w:p>
        </w:tc>
        <w:tc>
          <w:tcPr>
            <w:tcW w:w="880" w:type="dxa"/>
            <w:vAlign w:val="bottom"/>
          </w:tcPr>
          <w:p>
            <w:pPr>
              <w:jc w:val="right"/>
              <w:ind w:right="151"/>
              <w:spacing w:after="0"/>
              <w:rPr>
                <w:sz w:val="20"/>
                <w:szCs w:val="20"/>
                <w:color w:val="auto"/>
              </w:rPr>
            </w:pPr>
            <w:r>
              <w:rPr>
                <w:rFonts w:ascii="Arial" w:cs="Arial" w:eastAsia="Arial" w:hAnsi="Arial"/>
                <w:sz w:val="16"/>
                <w:szCs w:val="16"/>
                <w:b w:val="1"/>
                <w:bCs w:val="1"/>
                <w:color w:val="auto"/>
              </w:rPr>
              <w:t>Q4 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Q1 2023</w:t>
            </w:r>
          </w:p>
        </w:tc>
        <w:tc>
          <w:tcPr>
            <w:tcW w:w="16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Q2 2023</w:t>
            </w:r>
          </w:p>
        </w:tc>
        <w:tc>
          <w:tcPr>
            <w:tcW w:w="200" w:type="dxa"/>
            <w:vAlign w:val="bottom"/>
          </w:tcPr>
          <w:p>
            <w:pPr>
              <w:spacing w:after="0"/>
              <w:rPr>
                <w:sz w:val="19"/>
                <w:szCs w:val="19"/>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Q3 2023</w:t>
            </w:r>
          </w:p>
        </w:tc>
      </w:tr>
      <w:tr>
        <w:trPr>
          <w:trHeight w:val="243"/>
        </w:trPr>
        <w:tc>
          <w:tcPr>
            <w:tcW w:w="20" w:type="dxa"/>
            <w:vAlign w:val="bottom"/>
            <w:shd w:val="clear" w:color="auto" w:fill="CCECFF"/>
          </w:tcPr>
          <w:p>
            <w:pPr>
              <w:spacing w:after="0"/>
              <w:rPr>
                <w:sz w:val="21"/>
                <w:szCs w:val="21"/>
                <w:color w:val="auto"/>
              </w:rPr>
            </w:pPr>
          </w:p>
        </w:tc>
        <w:tc>
          <w:tcPr>
            <w:tcW w:w="5320" w:type="dxa"/>
            <w:vAlign w:val="bottom"/>
            <w:gridSpan w:val="2"/>
            <w:shd w:val="clear" w:color="auto" w:fill="CCECFF"/>
          </w:tcPr>
          <w:p>
            <w:pPr>
              <w:spacing w:after="0"/>
              <w:rPr>
                <w:sz w:val="20"/>
                <w:szCs w:val="20"/>
                <w:color w:val="auto"/>
              </w:rPr>
            </w:pPr>
            <w:r>
              <w:rPr>
                <w:rFonts w:ascii="Arial" w:cs="Arial" w:eastAsia="Arial" w:hAnsi="Arial"/>
                <w:sz w:val="18"/>
                <w:szCs w:val="18"/>
                <w:b w:val="1"/>
                <w:bCs w:val="1"/>
                <w:color w:val="auto"/>
              </w:rPr>
              <w:t>Gross profit, as reported</w:t>
            </w: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736.3</w:t>
            </w:r>
          </w:p>
        </w:tc>
        <w:tc>
          <w:tcPr>
            <w:tcW w:w="120" w:type="dxa"/>
            <w:vAlign w:val="bottom"/>
            <w:shd w:val="clear" w:color="auto" w:fill="CCECFF"/>
          </w:tcPr>
          <w:p>
            <w:pPr>
              <w:spacing w:after="0"/>
              <w:rPr>
                <w:sz w:val="21"/>
                <w:szCs w:val="21"/>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748.3</w:t>
            </w:r>
          </w:p>
        </w:tc>
        <w:tc>
          <w:tcPr>
            <w:tcW w:w="120" w:type="dxa"/>
            <w:vAlign w:val="bottom"/>
            <w:shd w:val="clear" w:color="auto" w:fill="CCECFF"/>
          </w:tcPr>
          <w:p>
            <w:pPr>
              <w:spacing w:after="0"/>
              <w:rPr>
                <w:sz w:val="21"/>
                <w:szCs w:val="21"/>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691.7</w:t>
            </w:r>
          </w:p>
        </w:tc>
        <w:tc>
          <w:tcPr>
            <w:tcW w:w="100" w:type="dxa"/>
            <w:vAlign w:val="bottom"/>
            <w:shd w:val="clear" w:color="auto" w:fill="CCECFF"/>
          </w:tcPr>
          <w:p>
            <w:pPr>
              <w:spacing w:after="0"/>
              <w:rPr>
                <w:sz w:val="21"/>
                <w:szCs w:val="21"/>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617.2</w:t>
            </w:r>
          </w:p>
        </w:tc>
        <w:tc>
          <w:tcPr>
            <w:tcW w:w="100" w:type="dxa"/>
            <w:vAlign w:val="bottom"/>
            <w:shd w:val="clear" w:color="auto" w:fill="CCECFF"/>
          </w:tcPr>
          <w:p>
            <w:pPr>
              <w:spacing w:after="0"/>
              <w:rPr>
                <w:sz w:val="21"/>
                <w:szCs w:val="21"/>
                <w:color w:val="auto"/>
              </w:rPr>
            </w:pPr>
          </w:p>
        </w:tc>
        <w:tc>
          <w:tcPr>
            <w:tcW w:w="200" w:type="dxa"/>
            <w:vAlign w:val="bottom"/>
            <w:tcBorders>
              <w:top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546.2</w:t>
            </w:r>
          </w:p>
        </w:tc>
        <w:tc>
          <w:tcPr>
            <w:tcW w:w="100" w:type="dxa"/>
            <w:vAlign w:val="bottom"/>
            <w:shd w:val="clear" w:color="auto" w:fill="CCECFF"/>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Equity-based compensation</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20" w:type="dxa"/>
            <w:vAlign w:val="bottom"/>
            <w:shd w:val="clear" w:color="auto" w:fill="CCECFF"/>
          </w:tcPr>
          <w:p>
            <w:pPr>
              <w:spacing w:after="0"/>
              <w:rPr>
                <w:sz w:val="21"/>
                <w:szCs w:val="21"/>
                <w:color w:val="auto"/>
              </w:rPr>
            </w:pPr>
          </w:p>
        </w:tc>
        <w:tc>
          <w:tcPr>
            <w:tcW w:w="532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Acquisition accounting adjustments</w:t>
            </w:r>
          </w:p>
        </w:tc>
        <w:tc>
          <w:tcPr>
            <w:tcW w:w="16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C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Patent claims and litigation settlements</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(11.0 )</w:t>
            </w:r>
          </w:p>
        </w:tc>
        <w:tc>
          <w:tcPr>
            <w:tcW w:w="1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(3.5 )</w:t>
            </w:r>
          </w:p>
        </w:tc>
        <w:tc>
          <w:tcPr>
            <w:tcW w:w="80" w:type="dxa"/>
            <w:vAlign w:val="bottom"/>
          </w:tcPr>
          <w:p>
            <w:pPr>
              <w:spacing w:after="0"/>
              <w:rPr>
                <w:sz w:val="21"/>
                <w:szCs w:val="21"/>
                <w:color w:val="auto"/>
              </w:rPr>
            </w:pPr>
          </w:p>
        </w:tc>
      </w:tr>
      <w:tr>
        <w:trPr>
          <w:trHeight w:val="236"/>
        </w:trPr>
        <w:tc>
          <w:tcPr>
            <w:tcW w:w="20" w:type="dxa"/>
            <w:vAlign w:val="bottom"/>
            <w:shd w:val="clear" w:color="auto" w:fill="CCECFF"/>
          </w:tcPr>
          <w:p>
            <w:pPr>
              <w:spacing w:after="0"/>
              <w:rPr>
                <w:sz w:val="20"/>
                <w:szCs w:val="20"/>
                <w:color w:val="auto"/>
              </w:rPr>
            </w:pPr>
          </w:p>
        </w:tc>
        <w:tc>
          <w:tcPr>
            <w:tcW w:w="5320" w:type="dxa"/>
            <w:vAlign w:val="bottom"/>
            <w:gridSpan w:val="2"/>
            <w:shd w:val="clear" w:color="auto" w:fill="CCECFF"/>
          </w:tcPr>
          <w:p>
            <w:pPr>
              <w:spacing w:after="0"/>
              <w:rPr>
                <w:sz w:val="20"/>
                <w:szCs w:val="20"/>
                <w:color w:val="auto"/>
              </w:rPr>
            </w:pPr>
            <w:r>
              <w:rPr>
                <w:rFonts w:ascii="Arial" w:cs="Arial" w:eastAsia="Arial" w:hAnsi="Arial"/>
                <w:sz w:val="18"/>
                <w:szCs w:val="18"/>
                <w:b w:val="1"/>
                <w:bCs w:val="1"/>
                <w:color w:val="auto"/>
              </w:rPr>
              <w:t>Adjusted gross profit</w:t>
            </w: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740.4</w:t>
            </w:r>
          </w:p>
        </w:tc>
        <w:tc>
          <w:tcPr>
            <w:tcW w:w="120" w:type="dxa"/>
            <w:vAlign w:val="bottom"/>
            <w:shd w:val="clear" w:color="auto" w:fill="CCECFF"/>
          </w:tcPr>
          <w:p>
            <w:pPr>
              <w:spacing w:after="0"/>
              <w:rPr>
                <w:sz w:val="20"/>
                <w:szCs w:val="20"/>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778.4</w:t>
            </w:r>
          </w:p>
        </w:tc>
        <w:tc>
          <w:tcPr>
            <w:tcW w:w="120" w:type="dxa"/>
            <w:vAlign w:val="bottom"/>
            <w:shd w:val="clear" w:color="auto" w:fill="CCECFF"/>
          </w:tcPr>
          <w:p>
            <w:pPr>
              <w:spacing w:after="0"/>
              <w:rPr>
                <w:sz w:val="20"/>
                <w:szCs w:val="20"/>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683.2</w:t>
            </w:r>
          </w:p>
        </w:tc>
        <w:tc>
          <w:tcPr>
            <w:tcW w:w="100" w:type="dxa"/>
            <w:vAlign w:val="bottom"/>
            <w:shd w:val="clear" w:color="auto" w:fill="CCECFF"/>
          </w:tcPr>
          <w:p>
            <w:pPr>
              <w:spacing w:after="0"/>
              <w:rPr>
                <w:sz w:val="20"/>
                <w:szCs w:val="20"/>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619.0</w:t>
            </w:r>
          </w:p>
        </w:tc>
        <w:tc>
          <w:tcPr>
            <w:tcW w:w="100" w:type="dxa"/>
            <w:vAlign w:val="bottom"/>
            <w:shd w:val="clear" w:color="auto" w:fill="CCECFF"/>
          </w:tcPr>
          <w:p>
            <w:pPr>
              <w:spacing w:after="0"/>
              <w:rPr>
                <w:sz w:val="20"/>
                <w:szCs w:val="20"/>
                <w:color w:val="auto"/>
              </w:rPr>
            </w:pPr>
          </w:p>
        </w:tc>
        <w:tc>
          <w:tcPr>
            <w:tcW w:w="200" w:type="dxa"/>
            <w:vAlign w:val="bottom"/>
            <w:tcBorders>
              <w:top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544.5</w:t>
            </w:r>
          </w:p>
        </w:tc>
        <w:tc>
          <w:tcPr>
            <w:tcW w:w="100" w:type="dxa"/>
            <w:vAlign w:val="bottom"/>
            <w:shd w:val="clear" w:color="auto" w:fill="CCECFF"/>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Adjusted gross profit as % of sales</w:t>
            </w:r>
          </w:p>
        </w:tc>
        <w:tc>
          <w:tcPr>
            <w:tcW w:w="160" w:type="dxa"/>
            <w:vAlign w:val="bottom"/>
          </w:tcPr>
          <w:p>
            <w:pPr>
              <w:spacing w:after="0"/>
              <w:rPr>
                <w:sz w:val="20"/>
                <w:szCs w:val="20"/>
                <w:color w:val="auto"/>
              </w:rPr>
            </w:pPr>
          </w:p>
        </w:tc>
        <w:tc>
          <w:tcPr>
            <w:tcW w:w="12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31.1 %</w:t>
            </w: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33.6 %</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34.1 %</w:t>
            </w:r>
          </w:p>
        </w:tc>
        <w:tc>
          <w:tcPr>
            <w:tcW w:w="11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32.3 %</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34.0 %</w:t>
            </w:r>
          </w:p>
        </w:tc>
      </w:tr>
      <w:tr>
        <w:trPr>
          <w:trHeight w:val="427"/>
        </w:trPr>
        <w:tc>
          <w:tcPr>
            <w:tcW w:w="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GAAP to Non-GAAP Adjusted Operating Expense</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3900" w:type="dxa"/>
            <w:vAlign w:val="bottom"/>
            <w:tcBorders>
              <w:top w:val="single" w:sz="8" w:color="auto"/>
            </w:tcBorders>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Q3 2022</w:t>
            </w:r>
          </w:p>
        </w:tc>
        <w:tc>
          <w:tcPr>
            <w:tcW w:w="180" w:type="dxa"/>
            <w:vAlign w:val="bottom"/>
          </w:tcPr>
          <w:p>
            <w:pPr>
              <w:spacing w:after="0"/>
              <w:rPr>
                <w:sz w:val="22"/>
                <w:szCs w:val="22"/>
                <w:color w:val="auto"/>
              </w:rPr>
            </w:pPr>
          </w:p>
        </w:tc>
        <w:tc>
          <w:tcPr>
            <w:tcW w:w="880" w:type="dxa"/>
            <w:vAlign w:val="bottom"/>
          </w:tcPr>
          <w:p>
            <w:pPr>
              <w:jc w:val="right"/>
              <w:ind w:right="151"/>
              <w:spacing w:after="0"/>
              <w:rPr>
                <w:sz w:val="20"/>
                <w:szCs w:val="20"/>
                <w:color w:val="auto"/>
              </w:rPr>
            </w:pPr>
            <w:r>
              <w:rPr>
                <w:rFonts w:ascii="Arial" w:cs="Arial" w:eastAsia="Arial" w:hAnsi="Arial"/>
                <w:sz w:val="16"/>
                <w:szCs w:val="16"/>
                <w:b w:val="1"/>
                <w:bCs w:val="1"/>
                <w:color w:val="auto"/>
              </w:rPr>
              <w:t>Q4 2022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Q1 2023</w:t>
            </w:r>
          </w:p>
        </w:tc>
        <w:tc>
          <w:tcPr>
            <w:tcW w:w="160" w:type="dxa"/>
            <w:vAlign w:val="bottom"/>
          </w:tcPr>
          <w:p>
            <w:pPr>
              <w:spacing w:after="0"/>
              <w:rPr>
                <w:sz w:val="22"/>
                <w:szCs w:val="22"/>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Q2 2023</w:t>
            </w:r>
          </w:p>
        </w:tc>
        <w:tc>
          <w:tcPr>
            <w:tcW w:w="200" w:type="dxa"/>
            <w:vAlign w:val="bottom"/>
          </w:tcPr>
          <w:p>
            <w:pPr>
              <w:spacing w:after="0"/>
              <w:rPr>
                <w:sz w:val="22"/>
                <w:szCs w:val="22"/>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Q3 2023</w:t>
            </w:r>
          </w:p>
        </w:tc>
      </w:tr>
      <w:tr>
        <w:trPr>
          <w:trHeight w:val="243"/>
        </w:trPr>
        <w:tc>
          <w:tcPr>
            <w:tcW w:w="20" w:type="dxa"/>
            <w:vAlign w:val="bottom"/>
            <w:shd w:val="clear" w:color="auto" w:fill="CCECFF"/>
          </w:tcPr>
          <w:p>
            <w:pPr>
              <w:spacing w:after="0"/>
              <w:rPr>
                <w:sz w:val="21"/>
                <w:szCs w:val="21"/>
                <w:color w:val="auto"/>
              </w:rPr>
            </w:pPr>
          </w:p>
        </w:tc>
        <w:tc>
          <w:tcPr>
            <w:tcW w:w="5320" w:type="dxa"/>
            <w:vAlign w:val="bottom"/>
            <w:gridSpan w:val="2"/>
            <w:shd w:val="clear" w:color="auto" w:fill="CCECFF"/>
          </w:tcPr>
          <w:p>
            <w:pPr>
              <w:spacing w:after="0"/>
              <w:rPr>
                <w:sz w:val="20"/>
                <w:szCs w:val="20"/>
                <w:color w:val="auto"/>
              </w:rPr>
            </w:pPr>
            <w:r>
              <w:rPr>
                <w:rFonts w:ascii="Arial" w:cs="Arial" w:eastAsia="Arial" w:hAnsi="Arial"/>
                <w:sz w:val="18"/>
                <w:szCs w:val="18"/>
                <w:b w:val="1"/>
                <w:bCs w:val="1"/>
                <w:color w:val="auto"/>
              </w:rPr>
              <w:t>Selling, general and administrative, as reported</w:t>
            </w: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281.7</w:t>
            </w:r>
          </w:p>
        </w:tc>
        <w:tc>
          <w:tcPr>
            <w:tcW w:w="120" w:type="dxa"/>
            <w:vAlign w:val="bottom"/>
            <w:shd w:val="clear" w:color="auto" w:fill="CCECFF"/>
          </w:tcPr>
          <w:p>
            <w:pPr>
              <w:spacing w:after="0"/>
              <w:rPr>
                <w:sz w:val="21"/>
                <w:szCs w:val="21"/>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290.1</w:t>
            </w:r>
          </w:p>
        </w:tc>
        <w:tc>
          <w:tcPr>
            <w:tcW w:w="120" w:type="dxa"/>
            <w:vAlign w:val="bottom"/>
            <w:shd w:val="clear" w:color="auto" w:fill="CCECFF"/>
          </w:tcPr>
          <w:p>
            <w:pPr>
              <w:spacing w:after="0"/>
              <w:rPr>
                <w:sz w:val="21"/>
                <w:szCs w:val="21"/>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263.5</w:t>
            </w:r>
          </w:p>
        </w:tc>
        <w:tc>
          <w:tcPr>
            <w:tcW w:w="100" w:type="dxa"/>
            <w:vAlign w:val="bottom"/>
            <w:shd w:val="clear" w:color="auto" w:fill="CCECFF"/>
          </w:tcPr>
          <w:p>
            <w:pPr>
              <w:spacing w:after="0"/>
              <w:rPr>
                <w:sz w:val="21"/>
                <w:szCs w:val="21"/>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254.9</w:t>
            </w:r>
          </w:p>
        </w:tc>
        <w:tc>
          <w:tcPr>
            <w:tcW w:w="100" w:type="dxa"/>
            <w:vAlign w:val="bottom"/>
            <w:shd w:val="clear" w:color="auto" w:fill="CCECFF"/>
          </w:tcPr>
          <w:p>
            <w:pPr>
              <w:spacing w:after="0"/>
              <w:rPr>
                <w:sz w:val="21"/>
                <w:szCs w:val="21"/>
                <w:color w:val="auto"/>
              </w:rPr>
            </w:pPr>
          </w:p>
        </w:tc>
        <w:tc>
          <w:tcPr>
            <w:tcW w:w="200" w:type="dxa"/>
            <w:vAlign w:val="bottom"/>
            <w:tcBorders>
              <w:top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229.7</w:t>
            </w:r>
          </w:p>
        </w:tc>
        <w:tc>
          <w:tcPr>
            <w:tcW w:w="100" w:type="dxa"/>
            <w:vAlign w:val="bottom"/>
            <w:shd w:val="clear" w:color="auto" w:fill="CCEC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Research and development, as reported</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161.9</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153.2</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20" w:type="dxa"/>
            <w:vAlign w:val="bottom"/>
            <w:shd w:val="clear" w:color="auto" w:fill="CCECFF"/>
          </w:tcPr>
          <w:p>
            <w:pPr>
              <w:spacing w:after="0"/>
              <w:rPr>
                <w:sz w:val="20"/>
                <w:szCs w:val="20"/>
                <w:color w:val="auto"/>
              </w:rPr>
            </w:pPr>
          </w:p>
        </w:tc>
        <w:tc>
          <w:tcPr>
            <w:tcW w:w="5320" w:type="dxa"/>
            <w:vAlign w:val="bottom"/>
            <w:gridSpan w:val="2"/>
            <w:shd w:val="clear" w:color="auto" w:fill="CCEC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443.6</w:t>
            </w:r>
          </w:p>
        </w:tc>
        <w:tc>
          <w:tcPr>
            <w:tcW w:w="120" w:type="dxa"/>
            <w:vAlign w:val="bottom"/>
            <w:shd w:val="clear" w:color="auto" w:fill="CCECFF"/>
          </w:tcPr>
          <w:p>
            <w:pPr>
              <w:spacing w:after="0"/>
              <w:rPr>
                <w:sz w:val="20"/>
                <w:szCs w:val="20"/>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449.5</w:t>
            </w:r>
          </w:p>
        </w:tc>
        <w:tc>
          <w:tcPr>
            <w:tcW w:w="120" w:type="dxa"/>
            <w:vAlign w:val="bottom"/>
            <w:shd w:val="clear" w:color="auto" w:fill="CCECFF"/>
          </w:tcPr>
          <w:p>
            <w:pPr>
              <w:spacing w:after="0"/>
              <w:rPr>
                <w:sz w:val="20"/>
                <w:szCs w:val="20"/>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416.9</w:t>
            </w:r>
          </w:p>
        </w:tc>
        <w:tc>
          <w:tcPr>
            <w:tcW w:w="100" w:type="dxa"/>
            <w:vAlign w:val="bottom"/>
            <w:shd w:val="clear" w:color="auto" w:fill="CCECFF"/>
          </w:tcPr>
          <w:p>
            <w:pPr>
              <w:spacing w:after="0"/>
              <w:rPr>
                <w:sz w:val="20"/>
                <w:szCs w:val="20"/>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408.1</w:t>
            </w:r>
          </w:p>
        </w:tc>
        <w:tc>
          <w:tcPr>
            <w:tcW w:w="100" w:type="dxa"/>
            <w:vAlign w:val="bottom"/>
            <w:shd w:val="clear" w:color="auto" w:fill="CCECFF"/>
          </w:tcPr>
          <w:p>
            <w:pPr>
              <w:spacing w:after="0"/>
              <w:rPr>
                <w:sz w:val="20"/>
                <w:szCs w:val="20"/>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355.2</w:t>
            </w:r>
          </w:p>
        </w:tc>
        <w:tc>
          <w:tcPr>
            <w:tcW w:w="100" w:type="dxa"/>
            <w:vAlign w:val="bottom"/>
            <w:shd w:val="clear" w:color="auto" w:fill="CCECFF"/>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Equity-based compensation</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20" w:type="dxa"/>
            <w:vAlign w:val="bottom"/>
            <w:shd w:val="clear" w:color="auto" w:fill="CCECFF"/>
          </w:tcPr>
          <w:p>
            <w:pPr>
              <w:spacing w:after="0"/>
              <w:rPr>
                <w:sz w:val="21"/>
                <w:szCs w:val="21"/>
                <w:color w:val="auto"/>
              </w:rPr>
            </w:pPr>
          </w:p>
        </w:tc>
        <w:tc>
          <w:tcPr>
            <w:tcW w:w="532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Transaction, transformation and integration costs</w:t>
            </w:r>
          </w:p>
        </w:tc>
        <w:tc>
          <w:tcPr>
            <w:tcW w:w="16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CFF"/>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Recovery for Russian accounts receivable</w:t>
            </w: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(1.1 )</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(2.0 )</w:t>
            </w:r>
          </w:p>
        </w:tc>
        <w:tc>
          <w:tcPr>
            <w:tcW w:w="2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9"/>
        </w:trPr>
        <w:tc>
          <w:tcPr>
            <w:tcW w:w="20" w:type="dxa"/>
            <w:vAlign w:val="bottom"/>
            <w:tcBorders>
              <w:bottom w:val="single" w:sz="8" w:color="CCECFF"/>
            </w:tcBorders>
            <w:shd w:val="clear" w:color="auto" w:fill="CCECFF"/>
          </w:tcPr>
          <w:p>
            <w:pPr>
              <w:spacing w:after="0"/>
              <w:rPr>
                <w:sz w:val="21"/>
                <w:szCs w:val="21"/>
                <w:color w:val="auto"/>
              </w:rPr>
            </w:pPr>
          </w:p>
        </w:tc>
        <w:tc>
          <w:tcPr>
            <w:tcW w:w="532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Cyber incident costs</w:t>
            </w:r>
          </w:p>
        </w:tc>
        <w:tc>
          <w:tcPr>
            <w:tcW w:w="160" w:type="dxa"/>
            <w:vAlign w:val="bottom"/>
            <w:tcBorders>
              <w:bottom w:val="single" w:sz="8" w:color="auto"/>
            </w:tcBorders>
            <w:shd w:val="clear" w:color="auto" w:fill="CCECFF"/>
          </w:tcPr>
          <w:p>
            <w:pPr>
              <w:spacing w:after="0"/>
              <w:rPr>
                <w:sz w:val="21"/>
                <w:szCs w:val="21"/>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auto"/>
            </w:tcBorders>
            <w:shd w:val="clear" w:color="auto" w:fill="CCECFF"/>
          </w:tcPr>
          <w:p>
            <w:pPr>
              <w:spacing w:after="0"/>
              <w:rPr>
                <w:sz w:val="21"/>
                <w:szCs w:val="21"/>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spacing w:after="0"/>
              <w:rPr>
                <w:sz w:val="21"/>
                <w:szCs w:val="21"/>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spacing w:after="0"/>
              <w:rPr>
                <w:sz w:val="21"/>
                <w:szCs w:val="21"/>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auto"/>
            </w:tcBorders>
            <w:shd w:val="clear" w:color="auto" w:fill="CCECFF"/>
          </w:tcPr>
          <w:p>
            <w:pPr>
              <w:spacing w:after="0"/>
              <w:rPr>
                <w:sz w:val="21"/>
                <w:szCs w:val="21"/>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CFF"/>
            </w:tcBorders>
            <w:shd w:val="clear" w:color="auto" w:fill="CCECFF"/>
          </w:tcPr>
          <w:p>
            <w:pPr>
              <w:spacing w:after="0"/>
              <w:rPr>
                <w:sz w:val="21"/>
                <w:szCs w:val="21"/>
                <w:color w:val="auto"/>
              </w:rPr>
            </w:pPr>
          </w:p>
        </w:tc>
        <w:tc>
          <w:tcPr>
            <w:tcW w:w="80" w:type="dxa"/>
            <w:vAlign w:val="bottom"/>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expense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424.6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433.9</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402.5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390.1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326.6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expense as % of sales</w:t>
            </w:r>
          </w:p>
        </w:tc>
        <w:tc>
          <w:tcPr>
            <w:tcW w:w="160" w:type="dxa"/>
            <w:vAlign w:val="bottom"/>
          </w:tcPr>
          <w:p>
            <w:pPr>
              <w:spacing w:after="0"/>
              <w:rPr>
                <w:sz w:val="20"/>
                <w:szCs w:val="20"/>
                <w:color w:val="auto"/>
              </w:rPr>
            </w:pPr>
          </w:p>
        </w:tc>
        <w:tc>
          <w:tcPr>
            <w:tcW w:w="12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17.8 %</w:t>
            </w: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18.7 %</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20.1 %</w:t>
            </w:r>
          </w:p>
        </w:tc>
        <w:tc>
          <w:tcPr>
            <w:tcW w:w="11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20.3 %</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16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Components may not sum to total due to rounding.</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"Non-GAAP Financial Measures"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66" w:right="259" w:bottom="1440" w:gutter="0" w:footer="0" w:header="0"/>
        </w:sectPr>
      </w:pPr>
    </w:p>
    <w:bookmarkStart w:id="18" w:name="page19"/>
    <w:bookmarkEnd w:id="18"/>
    <w:p>
      <w:pPr>
        <w:jc w:val="center"/>
        <w:ind w:right="100"/>
        <w:spacing w:after="0"/>
        <w:rPr>
          <w:sz w:val="20"/>
          <w:szCs w:val="20"/>
          <w:color w:val="auto"/>
        </w:rPr>
      </w:pPr>
      <w:r>
        <w:rPr>
          <w:rFonts w:ascii="Arial" w:cs="Arial" w:eastAsia="Arial" w:hAnsi="Arial"/>
          <w:sz w:val="18"/>
          <w:szCs w:val="18"/>
          <w:b w:val="1"/>
          <w:bCs w:val="1"/>
          <w:color w:val="auto"/>
        </w:rPr>
        <w:t>CommScope Holding Company, Inc.</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Reconciliation of GAAP Measures to Non-GAAP Adjusted Measures</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 -- In millions)</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Core Segment Adjusted EBITDA</w:t>
      </w:r>
    </w:p>
    <w:p>
      <w:pPr>
        <w:spacing w:after="0" w:line="278" w:lineRule="exact"/>
        <w:rPr>
          <w:sz w:val="20"/>
          <w:szCs w:val="20"/>
          <w:color w:val="auto"/>
        </w:rPr>
      </w:pPr>
    </w:p>
    <w:p>
      <w:pPr>
        <w:jc w:val="center"/>
        <w:ind w:left="8740"/>
        <w:spacing w:after="0"/>
        <w:rPr>
          <w:sz w:val="20"/>
          <w:szCs w:val="20"/>
          <w:color w:val="auto"/>
        </w:rPr>
      </w:pPr>
      <w:r>
        <w:rPr>
          <w:rFonts w:ascii="Arial" w:cs="Arial" w:eastAsia="Arial" w:hAnsi="Arial"/>
          <w:sz w:val="18"/>
          <w:szCs w:val="18"/>
          <w:b w:val="1"/>
          <w:bCs w:val="1"/>
          <w:color w:val="auto"/>
        </w:rPr>
        <w:t>Outlook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13335</wp:posOffset>
            </wp:positionV>
            <wp:extent cx="1519555" cy="1879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19555" cy="187960"/>
                    </a:xfrm>
                    <a:prstGeom prst="rect">
                      <a:avLst/>
                    </a:prstGeom>
                    <a:noFill/>
                  </pic:spPr>
                </pic:pic>
              </a:graphicData>
            </a:graphic>
          </wp:anchor>
        </w:drawing>
      </w:r>
    </w:p>
    <w:p>
      <w:pPr>
        <w:spacing w:after="0" w:line="34" w:lineRule="exact"/>
        <w:rPr>
          <w:sz w:val="20"/>
          <w:szCs w:val="20"/>
          <w:color w:val="auto"/>
        </w:rPr>
      </w:pPr>
    </w:p>
    <w:p>
      <w:pPr>
        <w:ind w:left="9840"/>
        <w:spacing w:after="0"/>
        <w:rPr>
          <w:sz w:val="20"/>
          <w:szCs w:val="20"/>
          <w:color w:val="auto"/>
        </w:rPr>
      </w:pPr>
      <w:r>
        <w:rPr>
          <w:rFonts w:ascii="Arial" w:cs="Arial" w:eastAsia="Arial" w:hAnsi="Arial"/>
          <w:sz w:val="16"/>
          <w:szCs w:val="16"/>
          <w:b w:val="1"/>
          <w:bCs w:val="1"/>
          <w:color w:val="auto"/>
        </w:rPr>
        <w:t>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shd w:val="clear" w:color="auto" w:fill="CCECFF"/>
          </w:tcPr>
          <w:p>
            <w:pPr>
              <w:spacing w:after="0"/>
              <w:rPr>
                <w:sz w:val="22"/>
                <w:szCs w:val="22"/>
                <w:color w:val="auto"/>
              </w:rPr>
            </w:pPr>
          </w:p>
        </w:tc>
        <w:tc>
          <w:tcPr>
            <w:tcW w:w="8840" w:type="dxa"/>
            <w:vAlign w:val="bottom"/>
            <w:gridSpan w:val="2"/>
            <w:shd w:val="clear" w:color="auto" w:fill="CCECFF"/>
          </w:tcPr>
          <w:p>
            <w:pPr>
              <w:ind w:left="100"/>
              <w:spacing w:after="0" w:line="256" w:lineRule="exact"/>
              <w:rPr>
                <w:sz w:val="20"/>
                <w:szCs w:val="20"/>
                <w:color w:val="auto"/>
              </w:rPr>
            </w:pPr>
            <w:r>
              <w:rPr>
                <w:rFonts w:ascii="Arial" w:cs="Arial" w:eastAsia="Arial" w:hAnsi="Arial"/>
                <w:sz w:val="18"/>
                <w:szCs w:val="18"/>
                <w:b w:val="1"/>
                <w:bCs w:val="1"/>
                <w:color w:val="auto"/>
              </w:rPr>
              <w:t xml:space="preserve">Core segment operating income </w:t>
            </w:r>
            <w:r>
              <w:rPr>
                <w:rFonts w:ascii="Arial" w:cs="Arial" w:eastAsia="Arial" w:hAnsi="Arial"/>
                <w:sz w:val="24"/>
                <w:szCs w:val="24"/>
                <w:b w:val="1"/>
                <w:bCs w:val="1"/>
                <w:color w:val="auto"/>
                <w:vertAlign w:val="superscript"/>
              </w:rPr>
              <w:t>(1)</w:t>
            </w:r>
          </w:p>
        </w:tc>
        <w:tc>
          <w:tcPr>
            <w:tcW w:w="380" w:type="dxa"/>
            <w:vAlign w:val="bottom"/>
            <w:tcBorders>
              <w:top w:val="single" w:sz="8" w:color="auto"/>
            </w:tcBorders>
            <w:gridSpan w:val="2"/>
            <w:shd w:val="clear" w:color="auto" w:fill="CCEC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25</w:t>
            </w:r>
          </w:p>
        </w:tc>
        <w:tc>
          <w:tcPr>
            <w:tcW w:w="20" w:type="dxa"/>
            <w:vAlign w:val="bottom"/>
            <w:tcBorders>
              <w:top w:val="single" w:sz="8" w:color="auto"/>
            </w:tcBorders>
            <w:shd w:val="clear" w:color="auto" w:fill="CCECFF"/>
          </w:tcPr>
          <w:p>
            <w:pPr>
              <w:spacing w:after="0"/>
              <w:rPr>
                <w:sz w:val="22"/>
                <w:szCs w:val="22"/>
                <w:color w:val="auto"/>
              </w:rPr>
            </w:pPr>
          </w:p>
        </w:tc>
        <w:tc>
          <w:tcPr>
            <w:tcW w:w="80" w:type="dxa"/>
            <w:vAlign w:val="bottom"/>
            <w:tcBorders>
              <w:top w:val="single" w:sz="8" w:color="auto"/>
            </w:tcBorders>
            <w:shd w:val="clear" w:color="auto" w:fill="CCECFF"/>
          </w:tcPr>
          <w:p>
            <w:pPr>
              <w:spacing w:after="0"/>
              <w:rPr>
                <w:sz w:val="22"/>
                <w:szCs w:val="22"/>
                <w:color w:val="auto"/>
              </w:rPr>
            </w:pPr>
          </w:p>
        </w:tc>
        <w:tc>
          <w:tcPr>
            <w:tcW w:w="600" w:type="dxa"/>
            <w:vAlign w:val="bottom"/>
            <w:tcBorders>
              <w:top w:val="single" w:sz="8" w:color="auto"/>
            </w:tcBorders>
            <w:gridSpan w:val="2"/>
            <w:shd w:val="clear" w:color="auto" w:fill="CCECFF"/>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CFF"/>
          </w:tcPr>
          <w:p>
            <w:pPr>
              <w:spacing w:after="0"/>
              <w:rPr>
                <w:sz w:val="22"/>
                <w:szCs w:val="22"/>
                <w:color w:val="auto"/>
              </w:rPr>
            </w:pPr>
          </w:p>
        </w:tc>
      </w:tr>
      <w:tr>
        <w:trPr>
          <w:trHeight w:val="236"/>
        </w:trPr>
        <w:tc>
          <w:tcPr>
            <w:tcW w:w="20" w:type="dxa"/>
            <w:vAlign w:val="bottom"/>
          </w:tcPr>
          <w:p>
            <w:pPr>
              <w:spacing w:after="0"/>
              <w:rPr>
                <w:sz w:val="20"/>
                <w:szCs w:val="20"/>
                <w:color w:val="auto"/>
              </w:rPr>
            </w:pPr>
          </w:p>
        </w:tc>
        <w:tc>
          <w:tcPr>
            <w:tcW w:w="8840" w:type="dxa"/>
            <w:vAlign w:val="bottom"/>
            <w:gridSpan w:val="2"/>
          </w:tcPr>
          <w:p>
            <w:pPr>
              <w:ind w:left="100"/>
              <w:spacing w:after="0"/>
              <w:rPr>
                <w:sz w:val="20"/>
                <w:szCs w:val="20"/>
                <w:color w:val="auto"/>
              </w:rPr>
            </w:pPr>
            <w:r>
              <w:rPr>
                <w:rFonts w:ascii="Arial" w:cs="Arial" w:eastAsia="Arial" w:hAnsi="Arial"/>
                <w:sz w:val="18"/>
                <w:szCs w:val="18"/>
                <w:color w:val="auto"/>
              </w:rPr>
              <w:t>Adjustments:</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shd w:val="clear" w:color="auto" w:fill="CCECFF"/>
          </w:tcPr>
          <w:p>
            <w:pPr>
              <w:spacing w:after="0"/>
              <w:rPr>
                <w:sz w:val="21"/>
                <w:szCs w:val="21"/>
                <w:color w:val="auto"/>
              </w:rPr>
            </w:pPr>
          </w:p>
        </w:tc>
        <w:tc>
          <w:tcPr>
            <w:tcW w:w="8840" w:type="dxa"/>
            <w:vAlign w:val="bottom"/>
            <w:gridSpan w:val="2"/>
            <w:shd w:val="clear" w:color="auto" w:fill="CCECFF"/>
          </w:tcPr>
          <w:p>
            <w:pPr>
              <w:ind w:left="180"/>
              <w:spacing w:after="0"/>
              <w:rPr>
                <w:sz w:val="20"/>
                <w:szCs w:val="20"/>
                <w:color w:val="auto"/>
              </w:rPr>
            </w:pPr>
            <w:r>
              <w:rPr>
                <w:rFonts w:ascii="Arial" w:cs="Arial" w:eastAsia="Arial" w:hAnsi="Arial"/>
                <w:sz w:val="18"/>
                <w:szCs w:val="18"/>
                <w:color w:val="auto"/>
              </w:rPr>
              <w:t>Amortization of purchased intangible assets</w:t>
            </w:r>
          </w:p>
        </w:tc>
        <w:tc>
          <w:tcPr>
            <w:tcW w:w="6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325</w:t>
            </w:r>
          </w:p>
        </w:tc>
        <w:tc>
          <w:tcPr>
            <w:tcW w:w="2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20" w:type="dxa"/>
            <w:vAlign w:val="bottom"/>
            <w:shd w:val="clear" w:color="auto" w:fill="CCECFF"/>
          </w:tcPr>
          <w:p>
            <w:pPr>
              <w:spacing w:after="0"/>
              <w:rPr>
                <w:sz w:val="21"/>
                <w:szCs w:val="21"/>
                <w:color w:val="auto"/>
              </w:rPr>
            </w:pPr>
          </w:p>
        </w:tc>
        <w:tc>
          <w:tcPr>
            <w:tcW w:w="580" w:type="dxa"/>
            <w:vAlign w:val="bottom"/>
            <w:shd w:val="clear" w:color="auto" w:fill="CCECFF"/>
          </w:tcPr>
          <w:p>
            <w:pPr>
              <w:spacing w:after="0"/>
              <w:rPr>
                <w:sz w:val="21"/>
                <w:szCs w:val="2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CFF"/>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8840" w:type="dxa"/>
            <w:vAlign w:val="bottom"/>
            <w:gridSpan w:val="2"/>
          </w:tcPr>
          <w:p>
            <w:pPr>
              <w:ind w:left="180"/>
              <w:spacing w:after="0"/>
              <w:rPr>
                <w:sz w:val="20"/>
                <w:szCs w:val="20"/>
                <w:color w:val="auto"/>
              </w:rPr>
            </w:pPr>
            <w:r>
              <w:rPr>
                <w:rFonts w:ascii="Arial" w:cs="Arial" w:eastAsia="Arial" w:hAnsi="Arial"/>
                <w:sz w:val="18"/>
                <w:szCs w:val="18"/>
                <w:color w:val="auto"/>
              </w:rPr>
              <w:t>Equity-based compensation</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r>
      <w:tr>
        <w:trPr>
          <w:trHeight w:val="249"/>
        </w:trPr>
        <w:tc>
          <w:tcPr>
            <w:tcW w:w="20" w:type="dxa"/>
            <w:vAlign w:val="bottom"/>
            <w:shd w:val="clear" w:color="auto" w:fill="CCECFF"/>
          </w:tcPr>
          <w:p>
            <w:pPr>
              <w:spacing w:after="0"/>
              <w:rPr>
                <w:sz w:val="21"/>
                <w:szCs w:val="21"/>
                <w:color w:val="auto"/>
              </w:rPr>
            </w:pPr>
          </w:p>
        </w:tc>
        <w:tc>
          <w:tcPr>
            <w:tcW w:w="8840" w:type="dxa"/>
            <w:vAlign w:val="bottom"/>
            <w:gridSpan w:val="2"/>
            <w:shd w:val="clear" w:color="auto" w:fill="CCECFF"/>
          </w:tcPr>
          <w:p>
            <w:pPr>
              <w:ind w:left="180"/>
              <w:spacing w:after="0"/>
              <w:rPr>
                <w:sz w:val="20"/>
                <w:szCs w:val="20"/>
                <w:color w:val="auto"/>
              </w:rPr>
            </w:pPr>
            <w:r>
              <w:rPr>
                <w:rFonts w:ascii="Arial" w:cs="Arial" w:eastAsia="Arial" w:hAnsi="Arial"/>
                <w:sz w:val="18"/>
                <w:szCs w:val="18"/>
                <w:color w:val="auto"/>
              </w:rPr>
              <w:t>Restructuring costs, net and transaction, transformation and integration costs</w:t>
            </w:r>
          </w:p>
        </w:tc>
        <w:tc>
          <w:tcPr>
            <w:tcW w:w="6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20" w:type="dxa"/>
            <w:vAlign w:val="bottom"/>
            <w:shd w:val="clear" w:color="auto" w:fill="CCECFF"/>
          </w:tcPr>
          <w:p>
            <w:pPr>
              <w:spacing w:after="0"/>
              <w:rPr>
                <w:sz w:val="21"/>
                <w:szCs w:val="21"/>
                <w:color w:val="auto"/>
              </w:rPr>
            </w:pPr>
          </w:p>
        </w:tc>
        <w:tc>
          <w:tcPr>
            <w:tcW w:w="580" w:type="dxa"/>
            <w:vAlign w:val="bottom"/>
            <w:shd w:val="clear" w:color="auto" w:fill="CCECFF"/>
          </w:tcPr>
          <w:p>
            <w:pPr>
              <w:spacing w:after="0"/>
              <w:rPr>
                <w:sz w:val="21"/>
                <w:szCs w:val="2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CFF"/>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8840" w:type="dxa"/>
            <w:vAlign w:val="bottom"/>
            <w:gridSpan w:val="2"/>
          </w:tcPr>
          <w:p>
            <w:pPr>
              <w:ind w:left="180"/>
              <w:spacing w:after="0"/>
              <w:rPr>
                <w:sz w:val="20"/>
                <w:szCs w:val="20"/>
                <w:color w:val="auto"/>
              </w:rPr>
            </w:pPr>
            <w:r>
              <w:rPr>
                <w:rFonts w:ascii="Arial" w:cs="Arial" w:eastAsia="Arial" w:hAnsi="Arial"/>
                <w:sz w:val="18"/>
                <w:szCs w:val="18"/>
                <w:color w:val="auto"/>
              </w:rPr>
              <w:t>Asset impairments</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r>
      <w:tr>
        <w:trPr>
          <w:trHeight w:val="249"/>
        </w:trPr>
        <w:tc>
          <w:tcPr>
            <w:tcW w:w="20" w:type="dxa"/>
            <w:vAlign w:val="bottom"/>
            <w:shd w:val="clear" w:color="auto" w:fill="CCECFF"/>
          </w:tcPr>
          <w:p>
            <w:pPr>
              <w:spacing w:after="0"/>
              <w:rPr>
                <w:sz w:val="21"/>
                <w:szCs w:val="21"/>
                <w:color w:val="auto"/>
              </w:rPr>
            </w:pPr>
          </w:p>
        </w:tc>
        <w:tc>
          <w:tcPr>
            <w:tcW w:w="8840" w:type="dxa"/>
            <w:vAlign w:val="bottom"/>
            <w:gridSpan w:val="2"/>
            <w:shd w:val="clear" w:color="auto" w:fill="CCECFF"/>
          </w:tcPr>
          <w:p>
            <w:pPr>
              <w:ind w:left="180"/>
              <w:spacing w:after="0"/>
              <w:rPr>
                <w:sz w:val="20"/>
                <w:szCs w:val="20"/>
                <w:color w:val="auto"/>
              </w:rPr>
            </w:pPr>
            <w:r>
              <w:rPr>
                <w:rFonts w:ascii="Arial" w:cs="Arial" w:eastAsia="Arial" w:hAnsi="Arial"/>
                <w:sz w:val="18"/>
                <w:szCs w:val="18"/>
                <w:color w:val="auto"/>
              </w:rPr>
              <w:t>Acquisition accounting adjustments</w:t>
            </w:r>
          </w:p>
        </w:tc>
        <w:tc>
          <w:tcPr>
            <w:tcW w:w="6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20" w:type="dxa"/>
            <w:vAlign w:val="bottom"/>
            <w:shd w:val="clear" w:color="auto" w:fill="CCECFF"/>
          </w:tcPr>
          <w:p>
            <w:pPr>
              <w:spacing w:after="0"/>
              <w:rPr>
                <w:sz w:val="21"/>
                <w:szCs w:val="21"/>
                <w:color w:val="auto"/>
              </w:rPr>
            </w:pPr>
          </w:p>
        </w:tc>
        <w:tc>
          <w:tcPr>
            <w:tcW w:w="580" w:type="dxa"/>
            <w:vAlign w:val="bottom"/>
            <w:shd w:val="clear" w:color="auto" w:fill="CCECFF"/>
          </w:tcPr>
          <w:p>
            <w:pPr>
              <w:spacing w:after="0"/>
              <w:rPr>
                <w:sz w:val="21"/>
                <w:szCs w:val="2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CFF"/>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8840" w:type="dxa"/>
            <w:vAlign w:val="bottom"/>
            <w:gridSpan w:val="2"/>
          </w:tcPr>
          <w:p>
            <w:pPr>
              <w:ind w:left="180"/>
              <w:spacing w:after="0"/>
              <w:rPr>
                <w:sz w:val="20"/>
                <w:szCs w:val="20"/>
                <w:color w:val="auto"/>
              </w:rPr>
            </w:pPr>
            <w:r>
              <w:rPr>
                <w:rFonts w:ascii="Arial" w:cs="Arial" w:eastAsia="Arial" w:hAnsi="Arial"/>
                <w:sz w:val="18"/>
                <w:szCs w:val="18"/>
                <w:color w:val="auto"/>
              </w:rPr>
              <w:t>Patent claims and litigation settlements</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r>
      <w:tr>
        <w:trPr>
          <w:trHeight w:val="249"/>
        </w:trPr>
        <w:tc>
          <w:tcPr>
            <w:tcW w:w="20" w:type="dxa"/>
            <w:vAlign w:val="bottom"/>
            <w:shd w:val="clear" w:color="auto" w:fill="CCECFF"/>
          </w:tcPr>
          <w:p>
            <w:pPr>
              <w:spacing w:after="0"/>
              <w:rPr>
                <w:sz w:val="21"/>
                <w:szCs w:val="21"/>
                <w:color w:val="auto"/>
              </w:rPr>
            </w:pPr>
          </w:p>
        </w:tc>
        <w:tc>
          <w:tcPr>
            <w:tcW w:w="8840" w:type="dxa"/>
            <w:vAlign w:val="bottom"/>
            <w:gridSpan w:val="2"/>
            <w:shd w:val="clear" w:color="auto" w:fill="CCECFF"/>
          </w:tcPr>
          <w:p>
            <w:pPr>
              <w:ind w:left="180"/>
              <w:spacing w:after="0"/>
              <w:rPr>
                <w:sz w:val="20"/>
                <w:szCs w:val="20"/>
                <w:color w:val="auto"/>
              </w:rPr>
            </w:pPr>
            <w:r>
              <w:rPr>
                <w:rFonts w:ascii="Arial" w:cs="Arial" w:eastAsia="Arial" w:hAnsi="Arial"/>
                <w:sz w:val="18"/>
                <w:szCs w:val="18"/>
                <w:color w:val="auto"/>
              </w:rPr>
              <w:t>Cyber incident costs</w:t>
            </w:r>
          </w:p>
        </w:tc>
        <w:tc>
          <w:tcPr>
            <w:tcW w:w="6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20" w:type="dxa"/>
            <w:vAlign w:val="bottom"/>
            <w:shd w:val="clear" w:color="auto" w:fill="CCECFF"/>
          </w:tcPr>
          <w:p>
            <w:pPr>
              <w:spacing w:after="0"/>
              <w:rPr>
                <w:sz w:val="21"/>
                <w:szCs w:val="21"/>
                <w:color w:val="auto"/>
              </w:rPr>
            </w:pPr>
          </w:p>
        </w:tc>
        <w:tc>
          <w:tcPr>
            <w:tcW w:w="580" w:type="dxa"/>
            <w:vAlign w:val="bottom"/>
            <w:shd w:val="clear" w:color="auto" w:fill="CCECFF"/>
          </w:tcPr>
          <w:p>
            <w:pPr>
              <w:spacing w:after="0"/>
              <w:rPr>
                <w:sz w:val="21"/>
                <w:szCs w:val="2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CFF"/>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8840" w:type="dxa"/>
            <w:vAlign w:val="bottom"/>
            <w:gridSpan w:val="2"/>
          </w:tcPr>
          <w:p>
            <w:pPr>
              <w:ind w:left="180"/>
              <w:spacing w:after="0"/>
              <w:rPr>
                <w:sz w:val="20"/>
                <w:szCs w:val="20"/>
                <w:color w:val="auto"/>
              </w:rPr>
            </w:pPr>
            <w:r>
              <w:rPr>
                <w:rFonts w:ascii="Arial" w:cs="Arial" w:eastAsia="Arial" w:hAnsi="Arial"/>
                <w:sz w:val="18"/>
                <w:szCs w:val="18"/>
                <w:color w:val="auto"/>
              </w:rPr>
              <w:t>Recovery of Russian accounts receivable</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r>
      <w:tr>
        <w:trPr>
          <w:trHeight w:val="249"/>
        </w:trPr>
        <w:tc>
          <w:tcPr>
            <w:tcW w:w="20" w:type="dxa"/>
            <w:vAlign w:val="bottom"/>
            <w:tcBorders>
              <w:bottom w:val="single" w:sz="8" w:color="CCECFF"/>
            </w:tcBorders>
            <w:shd w:val="clear" w:color="auto" w:fill="CCECFF"/>
          </w:tcPr>
          <w:p>
            <w:pPr>
              <w:spacing w:after="0"/>
              <w:rPr>
                <w:sz w:val="21"/>
                <w:szCs w:val="21"/>
                <w:color w:val="auto"/>
              </w:rPr>
            </w:pPr>
          </w:p>
        </w:tc>
        <w:tc>
          <w:tcPr>
            <w:tcW w:w="8840" w:type="dxa"/>
            <w:vAlign w:val="bottom"/>
            <w:tcBorders>
              <w:bottom w:val="single" w:sz="8" w:color="CCECFF"/>
            </w:tcBorders>
            <w:gridSpan w:val="2"/>
            <w:shd w:val="clear" w:color="auto" w:fill="CCECFF"/>
          </w:tcPr>
          <w:p>
            <w:pPr>
              <w:ind w:left="180"/>
              <w:spacing w:after="0"/>
              <w:rPr>
                <w:sz w:val="20"/>
                <w:szCs w:val="20"/>
                <w:color w:val="auto"/>
              </w:rPr>
            </w:pPr>
            <w:r>
              <w:rPr>
                <w:rFonts w:ascii="Arial" w:cs="Arial" w:eastAsia="Arial" w:hAnsi="Arial"/>
                <w:sz w:val="18"/>
                <w:szCs w:val="18"/>
                <w:color w:val="auto"/>
              </w:rPr>
              <w:t>Depreciation</w:t>
            </w:r>
          </w:p>
        </w:tc>
        <w:tc>
          <w:tcPr>
            <w:tcW w:w="60" w:type="dxa"/>
            <w:vAlign w:val="bottom"/>
            <w:tcBorders>
              <w:bottom w:val="single" w:sz="8" w:color="auto"/>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Borders>
              <w:bottom w:val="single" w:sz="8" w:color="CCECFF"/>
            </w:tcBorders>
            <w:shd w:val="clear" w:color="auto" w:fill="CCECFF"/>
          </w:tcPr>
          <w:p>
            <w:pPr>
              <w:spacing w:after="0"/>
              <w:rPr>
                <w:sz w:val="21"/>
                <w:szCs w:val="21"/>
                <w:color w:val="auto"/>
              </w:rPr>
            </w:pPr>
          </w:p>
        </w:tc>
        <w:tc>
          <w:tcPr>
            <w:tcW w:w="80" w:type="dxa"/>
            <w:vAlign w:val="bottom"/>
            <w:tcBorders>
              <w:bottom w:val="single" w:sz="8" w:color="CCECFF"/>
            </w:tcBorders>
            <w:shd w:val="clear" w:color="auto" w:fill="CCECFF"/>
          </w:tcPr>
          <w:p>
            <w:pPr>
              <w:spacing w:after="0"/>
              <w:rPr>
                <w:sz w:val="21"/>
                <w:szCs w:val="21"/>
                <w:color w:val="auto"/>
              </w:rPr>
            </w:pPr>
          </w:p>
        </w:tc>
        <w:tc>
          <w:tcPr>
            <w:tcW w:w="20" w:type="dxa"/>
            <w:vAlign w:val="bottom"/>
            <w:tcBorders>
              <w:bottom w:val="single" w:sz="8" w:color="auto"/>
            </w:tcBorders>
            <w:shd w:val="clear" w:color="auto" w:fill="CCECFF"/>
          </w:tcPr>
          <w:p>
            <w:pPr>
              <w:spacing w:after="0"/>
              <w:rPr>
                <w:sz w:val="21"/>
                <w:szCs w:val="21"/>
                <w:color w:val="auto"/>
              </w:rPr>
            </w:pPr>
          </w:p>
        </w:tc>
        <w:tc>
          <w:tcPr>
            <w:tcW w:w="580" w:type="dxa"/>
            <w:vAlign w:val="bottom"/>
            <w:tcBorders>
              <w:bottom w:val="single" w:sz="8" w:color="auto"/>
            </w:tcBorders>
            <w:shd w:val="clear" w:color="auto" w:fill="CCECFF"/>
          </w:tcPr>
          <w:p>
            <w:pPr>
              <w:spacing w:after="0"/>
              <w:rPr>
                <w:sz w:val="21"/>
                <w:szCs w:val="21"/>
                <w:color w:val="auto"/>
              </w:rPr>
            </w:pPr>
          </w:p>
        </w:tc>
        <w:tc>
          <w:tcPr>
            <w:tcW w:w="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8840" w:type="dxa"/>
            <w:vAlign w:val="bottom"/>
            <w:gridSpan w:val="2"/>
          </w:tcPr>
          <w:p>
            <w:pPr>
              <w:ind w:left="280"/>
              <w:spacing w:after="0" w:line="236" w:lineRule="exact"/>
              <w:rPr>
                <w:sz w:val="20"/>
                <w:szCs w:val="20"/>
                <w:color w:val="auto"/>
              </w:rPr>
            </w:pPr>
            <w:r>
              <w:rPr>
                <w:rFonts w:ascii="Arial" w:cs="Arial" w:eastAsia="Arial" w:hAnsi="Arial"/>
                <w:sz w:val="18"/>
                <w:szCs w:val="18"/>
                <w:color w:val="auto"/>
              </w:rPr>
              <w:t xml:space="preserve">Total adjustments to core operating income </w:t>
            </w:r>
            <w:r>
              <w:rPr>
                <w:rFonts w:ascii="Arial" w:cs="Arial" w:eastAsia="Arial" w:hAnsi="Arial"/>
                <w:sz w:val="24"/>
                <w:szCs w:val="24"/>
                <w:color w:val="auto"/>
                <w:vertAlign w:val="superscript"/>
              </w:rPr>
              <w:t>(1)</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0"/>
                <w:szCs w:val="20"/>
                <w:color w:val="auto"/>
              </w:rPr>
            </w:pPr>
          </w:p>
        </w:tc>
      </w:tr>
      <w:tr>
        <w:trPr>
          <w:trHeight w:val="276"/>
        </w:trPr>
        <w:tc>
          <w:tcPr>
            <w:tcW w:w="20" w:type="dxa"/>
            <w:vAlign w:val="bottom"/>
            <w:tcBorders>
              <w:bottom w:val="single" w:sz="8" w:color="CCECFF"/>
            </w:tcBorders>
            <w:shd w:val="clear" w:color="auto" w:fill="CCECFF"/>
          </w:tcPr>
          <w:p>
            <w:pPr>
              <w:spacing w:after="0"/>
              <w:rPr>
                <w:sz w:val="24"/>
                <w:szCs w:val="24"/>
                <w:color w:val="auto"/>
              </w:rPr>
            </w:pPr>
          </w:p>
        </w:tc>
        <w:tc>
          <w:tcPr>
            <w:tcW w:w="8840" w:type="dxa"/>
            <w:vAlign w:val="bottom"/>
            <w:tcBorders>
              <w:bottom w:val="single" w:sz="8" w:color="CCECFF"/>
            </w:tcBorders>
            <w:gridSpan w:val="2"/>
            <w:shd w:val="clear" w:color="auto" w:fill="CCECFF"/>
          </w:tcPr>
          <w:p>
            <w:pPr>
              <w:ind w:left="100"/>
              <w:spacing w:after="0"/>
              <w:rPr>
                <w:sz w:val="20"/>
                <w:szCs w:val="20"/>
                <w:color w:val="auto"/>
              </w:rPr>
            </w:pPr>
            <w:r>
              <w:rPr>
                <w:rFonts w:ascii="Arial" w:cs="Arial" w:eastAsia="Arial" w:hAnsi="Arial"/>
                <w:sz w:val="18"/>
                <w:szCs w:val="18"/>
                <w:b w:val="1"/>
                <w:bCs w:val="1"/>
                <w:color w:val="auto"/>
              </w:rPr>
              <w:t>Core segment adjusted EBITDA</w:t>
            </w:r>
          </w:p>
        </w:tc>
        <w:tc>
          <w:tcPr>
            <w:tcW w:w="380" w:type="dxa"/>
            <w:vAlign w:val="bottom"/>
            <w:tcBorders>
              <w:bottom w:val="single" w:sz="8" w:color="auto"/>
            </w:tcBorders>
            <w:gridSpan w:val="2"/>
            <w:shd w:val="clear" w:color="auto" w:fill="CCEC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1,000</w:t>
            </w:r>
          </w:p>
        </w:tc>
        <w:tc>
          <w:tcPr>
            <w:tcW w:w="20" w:type="dxa"/>
            <w:vAlign w:val="bottom"/>
            <w:tcBorders>
              <w:bottom w:val="single" w:sz="8" w:color="CCECFF"/>
            </w:tcBorders>
            <w:shd w:val="clear" w:color="auto" w:fill="CCECFF"/>
          </w:tcPr>
          <w:p>
            <w:pPr>
              <w:spacing w:after="0"/>
              <w:rPr>
                <w:sz w:val="24"/>
                <w:szCs w:val="24"/>
                <w:color w:val="auto"/>
              </w:rPr>
            </w:pPr>
          </w:p>
        </w:tc>
        <w:tc>
          <w:tcPr>
            <w:tcW w:w="80" w:type="dxa"/>
            <w:vAlign w:val="bottom"/>
            <w:tcBorders>
              <w:bottom w:val="single" w:sz="8" w:color="CCECFF"/>
            </w:tcBorders>
            <w:shd w:val="clear" w:color="auto" w:fill="CCECFF"/>
          </w:tcPr>
          <w:p>
            <w:pPr>
              <w:spacing w:after="0"/>
              <w:rPr>
                <w:sz w:val="24"/>
                <w:szCs w:val="24"/>
                <w:color w:val="auto"/>
              </w:rPr>
            </w:pPr>
          </w:p>
        </w:tc>
        <w:tc>
          <w:tcPr>
            <w:tcW w:w="600" w:type="dxa"/>
            <w:vAlign w:val="bottom"/>
            <w:tcBorders>
              <w:bottom w:val="single" w:sz="8" w:color="auto"/>
            </w:tcBorders>
            <w:gridSpan w:val="2"/>
            <w:shd w:val="clear" w:color="auto" w:fill="CCECFF"/>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w w:val="97"/>
              </w:rPr>
              <w:t>1,050</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Adjusted Free Cash Flow</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940" w:type="dxa"/>
            <w:vAlign w:val="bottom"/>
            <w:tcBorders>
              <w:top w:val="single" w:sz="8" w:color="auto"/>
            </w:tcBorders>
          </w:tcPr>
          <w:p>
            <w:pPr>
              <w:spacing w:after="0"/>
              <w:rPr>
                <w:sz w:val="23"/>
                <w:szCs w:val="23"/>
                <w:color w:val="auto"/>
              </w:rPr>
            </w:pPr>
          </w:p>
        </w:tc>
        <w:tc>
          <w:tcPr>
            <w:tcW w:w="6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Outlook Range</w:t>
            </w:r>
          </w:p>
        </w:tc>
        <w:tc>
          <w:tcPr>
            <w:tcW w:w="4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20" w:type="dxa"/>
            <w:vAlign w:val="bottom"/>
            <w:shd w:val="clear" w:color="auto" w:fill="CCECFF"/>
          </w:tcPr>
          <w:p>
            <w:pPr>
              <w:spacing w:after="0"/>
              <w:rPr>
                <w:sz w:val="21"/>
                <w:szCs w:val="21"/>
                <w:color w:val="auto"/>
              </w:rPr>
            </w:pPr>
          </w:p>
        </w:tc>
        <w:tc>
          <w:tcPr>
            <w:tcW w:w="8840" w:type="dxa"/>
            <w:vAlign w:val="bottom"/>
            <w:gridSpan w:val="2"/>
            <w:shd w:val="clear" w:color="auto" w:fill="CCECFF"/>
          </w:tcPr>
          <w:p>
            <w:pPr>
              <w:spacing w:after="0"/>
              <w:rPr>
                <w:sz w:val="20"/>
                <w:szCs w:val="20"/>
                <w:color w:val="auto"/>
              </w:rPr>
            </w:pPr>
            <w:r>
              <w:rPr>
                <w:rFonts w:ascii="Arial" w:cs="Arial" w:eastAsia="Arial" w:hAnsi="Arial"/>
                <w:sz w:val="18"/>
                <w:szCs w:val="18"/>
                <w:b w:val="1"/>
                <w:bCs w:val="1"/>
                <w:color w:val="auto"/>
              </w:rPr>
              <w:t>Cash flow from operations</w:t>
            </w:r>
          </w:p>
        </w:tc>
        <w:tc>
          <w:tcPr>
            <w:tcW w:w="60" w:type="dxa"/>
            <w:vAlign w:val="bottom"/>
            <w:shd w:val="clear" w:color="auto" w:fill="CCECFF"/>
          </w:tcPr>
          <w:p>
            <w:pPr>
              <w:spacing w:after="0"/>
              <w:rPr>
                <w:sz w:val="21"/>
                <w:szCs w:val="21"/>
                <w:color w:val="auto"/>
              </w:rPr>
            </w:pP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b w:val="1"/>
                <w:bCs w:val="1"/>
                <w:color w:val="auto"/>
              </w:rPr>
              <w:t>230</w:t>
            </w:r>
          </w:p>
        </w:tc>
        <w:tc>
          <w:tcPr>
            <w:tcW w:w="80" w:type="dxa"/>
            <w:vAlign w:val="bottom"/>
            <w:shd w:val="clear" w:color="auto" w:fill="CCECFF"/>
          </w:tcPr>
          <w:p>
            <w:pPr>
              <w:spacing w:after="0"/>
              <w:rPr>
                <w:sz w:val="21"/>
                <w:szCs w:val="21"/>
                <w:color w:val="auto"/>
              </w:rPr>
            </w:pPr>
          </w:p>
        </w:tc>
        <w:tc>
          <w:tcPr>
            <w:tcW w:w="600" w:type="dxa"/>
            <w:vAlign w:val="bottom"/>
            <w:gridSpan w:val="2"/>
            <w:shd w:val="clear" w:color="auto" w:fill="CCECFF"/>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270</w:t>
            </w:r>
          </w:p>
        </w:tc>
        <w:tc>
          <w:tcPr>
            <w:tcW w:w="100" w:type="dxa"/>
            <w:vAlign w:val="bottom"/>
            <w:shd w:val="clear" w:color="auto" w:fill="CCEC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(70 )</w:t>
            </w: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(80 )</w:t>
            </w:r>
          </w:p>
        </w:tc>
      </w:tr>
      <w:tr>
        <w:trPr>
          <w:trHeight w:val="236"/>
        </w:trPr>
        <w:tc>
          <w:tcPr>
            <w:tcW w:w="20" w:type="dxa"/>
            <w:vAlign w:val="bottom"/>
            <w:shd w:val="clear" w:color="auto" w:fill="CCECFF"/>
          </w:tcPr>
          <w:p>
            <w:pPr>
              <w:spacing w:after="0"/>
              <w:rPr>
                <w:sz w:val="20"/>
                <w:szCs w:val="20"/>
                <w:color w:val="auto"/>
              </w:rPr>
            </w:pPr>
          </w:p>
        </w:tc>
        <w:tc>
          <w:tcPr>
            <w:tcW w:w="8840" w:type="dxa"/>
            <w:vAlign w:val="bottom"/>
            <w:gridSpan w:val="2"/>
            <w:shd w:val="clear" w:color="auto" w:fill="CCECFF"/>
          </w:tcPr>
          <w:p>
            <w:pPr>
              <w:spacing w:after="0"/>
              <w:rPr>
                <w:sz w:val="20"/>
                <w:szCs w:val="20"/>
                <w:color w:val="auto"/>
              </w:rPr>
            </w:pPr>
            <w:r>
              <w:rPr>
                <w:rFonts w:ascii="Arial" w:cs="Arial" w:eastAsia="Arial" w:hAnsi="Arial"/>
                <w:sz w:val="18"/>
                <w:szCs w:val="18"/>
                <w:b w:val="1"/>
                <w:bCs w:val="1"/>
                <w:color w:val="auto"/>
              </w:rPr>
              <w:t>Free cash flow</w:t>
            </w:r>
          </w:p>
        </w:tc>
        <w:tc>
          <w:tcPr>
            <w:tcW w:w="60" w:type="dxa"/>
            <w:vAlign w:val="bottom"/>
            <w:shd w:val="clear" w:color="auto" w:fill="CCECFF"/>
          </w:tcPr>
          <w:p>
            <w:pPr>
              <w:spacing w:after="0"/>
              <w:rPr>
                <w:sz w:val="20"/>
                <w:szCs w:val="20"/>
                <w:color w:val="auto"/>
              </w:rPr>
            </w:pPr>
          </w:p>
        </w:tc>
        <w:tc>
          <w:tcPr>
            <w:tcW w:w="320" w:type="dxa"/>
            <w:vAlign w:val="bottom"/>
            <w:tcBorders>
              <w:top w:val="single" w:sz="8" w:color="auto"/>
            </w:tcBorders>
            <w:shd w:val="clear" w:color="auto" w:fill="CCECFF"/>
          </w:tcPr>
          <w:p>
            <w:pPr>
              <w:spacing w:after="0"/>
              <w:rPr>
                <w:sz w:val="20"/>
                <w:szCs w:val="20"/>
                <w:color w:val="auto"/>
              </w:rPr>
            </w:pPr>
          </w:p>
        </w:tc>
        <w:tc>
          <w:tcPr>
            <w:tcW w:w="740" w:type="dxa"/>
            <w:vAlign w:val="bottom"/>
            <w:tcBorders>
              <w:top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8"/>
                <w:szCs w:val="18"/>
                <w:b w:val="1"/>
                <w:bCs w:val="1"/>
                <w:color w:val="auto"/>
              </w:rPr>
              <w:t>160</w:t>
            </w:r>
          </w:p>
        </w:tc>
        <w:tc>
          <w:tcPr>
            <w:tcW w:w="8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580" w:type="dxa"/>
            <w:vAlign w:val="bottom"/>
            <w:tcBorders>
              <w:top w:val="single" w:sz="8" w:color="auto"/>
            </w:tcBorders>
            <w:shd w:val="clear" w:color="auto" w:fill="CCECFF"/>
          </w:tcPr>
          <w:p>
            <w:pPr>
              <w:spacing w:after="0"/>
              <w:rPr>
                <w:sz w:val="20"/>
                <w:szCs w:val="20"/>
                <w:color w:val="auto"/>
              </w:rPr>
            </w:pPr>
          </w:p>
        </w:tc>
        <w:tc>
          <w:tcPr>
            <w:tcW w:w="4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190</w:t>
            </w:r>
          </w:p>
        </w:tc>
        <w:tc>
          <w:tcPr>
            <w:tcW w:w="100" w:type="dxa"/>
            <w:vAlign w:val="bottom"/>
            <w:shd w:val="clear" w:color="auto" w:fill="CCEC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Cash paid for restructuring, transaction, transformation and integration costs</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r>
      <w:tr>
        <w:trPr>
          <w:trHeight w:val="276"/>
        </w:trPr>
        <w:tc>
          <w:tcPr>
            <w:tcW w:w="20" w:type="dxa"/>
            <w:vAlign w:val="bottom"/>
            <w:tcBorders>
              <w:bottom w:val="single" w:sz="8" w:color="CCECFF"/>
            </w:tcBorders>
            <w:shd w:val="clear" w:color="auto" w:fill="CCECFF"/>
          </w:tcPr>
          <w:p>
            <w:pPr>
              <w:spacing w:after="0"/>
              <w:rPr>
                <w:sz w:val="24"/>
                <w:szCs w:val="24"/>
                <w:color w:val="auto"/>
              </w:rPr>
            </w:pPr>
          </w:p>
        </w:tc>
        <w:tc>
          <w:tcPr>
            <w:tcW w:w="884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8"/>
                <w:szCs w:val="18"/>
                <w:b w:val="1"/>
                <w:bCs w:val="1"/>
                <w:color w:val="auto"/>
              </w:rPr>
              <w:t>Adjusted free cash flow</w:t>
            </w:r>
          </w:p>
        </w:tc>
        <w:tc>
          <w:tcPr>
            <w:tcW w:w="60" w:type="dxa"/>
            <w:vAlign w:val="bottom"/>
            <w:tcBorders>
              <w:bottom w:val="single" w:sz="8" w:color="CCECFF"/>
            </w:tcBorders>
            <w:shd w:val="clear" w:color="auto" w:fill="CCECFF"/>
          </w:tcPr>
          <w:p>
            <w:pPr>
              <w:spacing w:after="0"/>
              <w:rPr>
                <w:sz w:val="24"/>
                <w:szCs w:val="24"/>
                <w:color w:val="auto"/>
              </w:rPr>
            </w:pPr>
          </w:p>
        </w:tc>
        <w:tc>
          <w:tcPr>
            <w:tcW w:w="320" w:type="dxa"/>
            <w:vAlign w:val="bottom"/>
            <w:tcBorders>
              <w:bottom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8"/>
                <w:szCs w:val="18"/>
                <w:b w:val="1"/>
                <w:bCs w:val="1"/>
                <w:color w:val="auto"/>
              </w:rPr>
              <w:t>300</w:t>
            </w:r>
          </w:p>
        </w:tc>
        <w:tc>
          <w:tcPr>
            <w:tcW w:w="80" w:type="dxa"/>
            <w:vAlign w:val="bottom"/>
            <w:tcBorders>
              <w:bottom w:val="single" w:sz="8" w:color="CCECFF"/>
            </w:tcBorders>
            <w:shd w:val="clear" w:color="auto" w:fill="CCECFF"/>
          </w:tcPr>
          <w:p>
            <w:pPr>
              <w:spacing w:after="0"/>
              <w:rPr>
                <w:sz w:val="24"/>
                <w:szCs w:val="24"/>
                <w:color w:val="auto"/>
              </w:rPr>
            </w:pPr>
          </w:p>
        </w:tc>
        <w:tc>
          <w:tcPr>
            <w:tcW w:w="20" w:type="dxa"/>
            <w:vAlign w:val="bottom"/>
            <w:tcBorders>
              <w:bottom w:val="single" w:sz="8" w:color="CCECFF"/>
            </w:tcBorders>
            <w:shd w:val="clear" w:color="auto" w:fill="CCECFF"/>
          </w:tcPr>
          <w:p>
            <w:pPr>
              <w:spacing w:after="0"/>
              <w:rPr>
                <w:sz w:val="24"/>
                <w:szCs w:val="24"/>
                <w:color w:val="auto"/>
              </w:rPr>
            </w:pPr>
          </w:p>
        </w:tc>
        <w:tc>
          <w:tcPr>
            <w:tcW w:w="580" w:type="dxa"/>
            <w:vAlign w:val="bottom"/>
            <w:tcBorders>
              <w:bottom w:val="single" w:sz="8" w:color="auto"/>
            </w:tcBorders>
            <w:shd w:val="clear" w:color="auto" w:fill="CCEC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6323965</wp:posOffset>
            </wp:positionH>
            <wp:positionV relativeFrom="paragraph">
              <wp:posOffset>-1788795</wp:posOffset>
            </wp:positionV>
            <wp:extent cx="6858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-1788795</wp:posOffset>
            </wp:positionV>
            <wp:extent cx="6858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-1463675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-1446530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-1463675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-1446530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-24765</wp:posOffset>
            </wp:positionV>
            <wp:extent cx="805180" cy="830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05180" cy="830580"/>
                    </a:xfrm>
                    <a:prstGeom prst="rect">
                      <a:avLst/>
                    </a:prstGeom>
                    <a:noFill/>
                  </pic:spPr>
                </pic:pic>
              </a:graphicData>
            </a:graphic>
          </wp:anchor>
        </w:drawing>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“Core” financial measures reflect the results of the CCS, NICS, OWN and ANS segments, in the aggregate, and exclude the results of the Home segment.</w:t>
      </w:r>
    </w:p>
    <w:p>
      <w:pPr>
        <w:spacing w:after="0" w:line="190" w:lineRule="exact"/>
        <w:rPr>
          <w:sz w:val="20"/>
          <w:szCs w:val="20"/>
          <w:color w:val="auto"/>
        </w:rPr>
      </w:pPr>
    </w:p>
    <w:p>
      <w:pPr>
        <w:ind w:left="20" w:right="340"/>
        <w:spacing w:after="0" w:line="252" w:lineRule="auto"/>
        <w:rPr>
          <w:sz w:val="20"/>
          <w:szCs w:val="20"/>
          <w:color w:val="auto"/>
        </w:rPr>
      </w:pPr>
      <w:r>
        <w:rPr>
          <w:rFonts w:ascii="Arial" w:cs="Arial" w:eastAsia="Arial" w:hAnsi="Arial"/>
          <w:sz w:val="14"/>
          <w:szCs w:val="14"/>
          <w:color w:val="auto"/>
        </w:rPr>
        <w:t>Our actual results may be impacted by additional events for which information is not currently available, such as additional restructuring activities, asset impairments, additional transaction, transformation and integration costs and other gains or losses related to events that are not currently known or measurable.</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See "Forward-Looking Statements" and "Non-GAAP Financial Measures"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2023-11-09T05:42:17Z</dcterms:created>
  <dcterms:modified xsi:type="dcterms:W3CDTF">2023-11-09T05:42:17Z</dcterms:modified>
</cp:coreProperties>
</file>